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Cs w:val="20"/>
        </w:rPr>
      </w:pPr>
    </w:p>
    <w:p w:rsidR="008B2610" w:rsidRPr="006F20CF" w:rsidRDefault="008B2610" w:rsidP="00F971CC">
      <w:pPr>
        <w:pStyle w:val="Title"/>
        <w:spacing w:before="2600"/>
      </w:pPr>
      <w:r w:rsidRPr="001906CD">
        <w:t>Application Form</w:t>
      </w:r>
    </w:p>
    <w:p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22489D">
        <w:t>The Royal College of Pathologists of Australasia (RCPA)</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22489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22489D" w:rsidRPr="0022489D">
        <w:t>Redacted</w:t>
      </w:r>
    </w:p>
    <w:p w:rsidR="00C171FB" w:rsidRPr="00C171FB" w:rsidRDefault="00C171FB" w:rsidP="00C171FB"/>
    <w:p w:rsidR="00C171FB" w:rsidRPr="00C171FB" w:rsidRDefault="00C171FB" w:rsidP="00C171FB">
      <w:pPr>
        <w:rPr>
          <w:b/>
        </w:rPr>
      </w:pPr>
      <w:r>
        <w:rPr>
          <w:b/>
        </w:rPr>
        <w:t xml:space="preserve">Primary contact name: </w:t>
      </w:r>
      <w:r w:rsidR="006D4705" w:rsidRPr="006D470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2489D" w:rsidRPr="0022489D">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22489D" w:rsidRPr="0022489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2489D" w:rsidRPr="0022489D">
        <w:t>Redacted</w:t>
      </w:r>
    </w:p>
    <w:p w:rsidR="00C171FB" w:rsidRDefault="00C171FB" w:rsidP="00C171FB">
      <w:pPr>
        <w:rPr>
          <w:b/>
        </w:rPr>
      </w:pPr>
    </w:p>
    <w:p w:rsidR="00C171FB" w:rsidRPr="00C171FB" w:rsidRDefault="00C171FB" w:rsidP="00C171FB">
      <w:pPr>
        <w:rPr>
          <w:b/>
        </w:rPr>
      </w:pPr>
      <w:r>
        <w:rPr>
          <w:b/>
        </w:rPr>
        <w:t xml:space="preserve">Alternative contact name: </w:t>
      </w:r>
      <w:r w:rsidR="006D4705" w:rsidRPr="006D470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2489D" w:rsidRPr="0022489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22489D" w:rsidRPr="0022489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22489D" w:rsidRPr="0022489D">
        <w:t>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Yes</w:t>
      </w:r>
    </w:p>
    <w:p w:rsidR="00A6491A" w:rsidRPr="00753C44" w:rsidRDefault="0022489D"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Yes</w:t>
      </w:r>
    </w:p>
    <w:p w:rsidR="00A6491A" w:rsidRPr="00753C44" w:rsidRDefault="0022489D"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A6491A">
        <w:rPr>
          <w:szCs w:val="20"/>
        </w:rPr>
        <w:t xml:space="preserve"> No</w:t>
      </w:r>
      <w:r w:rsidR="00A6491A"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9056C5" w:rsidRDefault="006A18E6" w:rsidP="00A6491A">
      <w:pPr>
        <w:ind w:left="284"/>
      </w:pPr>
      <w:r w:rsidRPr="006A18E6">
        <w:t>Apolipoprotein B testing for high risk cardiovascular disease risk assessment</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DA6EBA" w:rsidRDefault="00DA6EBA" w:rsidP="00DA6EBA">
      <w:pPr>
        <w:spacing w:before="0" w:after="0"/>
        <w:ind w:left="284"/>
      </w:pPr>
      <w:r>
        <w:t>Cardiovascular disease (CVD) is largely preventable and the evaluation of risk through a comprehensive clinical and diagnostic assessment of the patient allows for more effective management of modifiable risk factors. Individual risk factors such as high blood pressure and raised lipid levels are known to be associated with increased risk of CVD events.</w:t>
      </w:r>
    </w:p>
    <w:p w:rsidR="00DA6EBA" w:rsidRDefault="00DA6EBA" w:rsidP="00DA6EBA">
      <w:pPr>
        <w:spacing w:before="0" w:after="0"/>
        <w:ind w:left="284"/>
      </w:pPr>
      <w:r>
        <w:t>Measurement of apolipoprotein B (apoB) may be most relevant in patients who are hypertriglyceridaemic owing to mixed hyperlipidaemia or as an isolated abnormality. This encompasses patients with metabolic syndrome, obesity, type 2 diabetes, chronic kidney disease, and familial hyperapobetalipoproteinaemia (hyperapoB). It is also helpful in diagnosing genetic hypocholesterolaemic lipid disorders, including familial hypobetalipoproteinaemia and abetalipoproteinaemia, where apoB levels are very low or absent.</w:t>
      </w:r>
    </w:p>
    <w:p w:rsidR="002C3345" w:rsidRPr="009056C5" w:rsidRDefault="00DA6EBA" w:rsidP="00DA6EBA">
      <w:pPr>
        <w:spacing w:before="0" w:after="0"/>
        <w:ind w:left="284"/>
      </w:pPr>
      <w:r>
        <w:t>ApoB together with cholesterol and triglyceride can be used to define hyperapoB, a heterogeneous condition associated with small dense LDL and a high risk of atherosclerotic CVD.</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DA6EBA" w:rsidRDefault="00DA6EBA" w:rsidP="00DA6EBA">
      <w:pPr>
        <w:spacing w:before="0" w:after="0"/>
        <w:ind w:left="357"/>
      </w:pPr>
      <w:r>
        <w:t xml:space="preserve">ApoB is an essential and functional component of liver- derived very-low density lipoprotein (VLDL) and its metabolic remnants, intermediate density lipoprotein (IDL), LDL, as well as </w:t>
      </w:r>
      <w:proofErr w:type="gramStart"/>
      <w:r>
        <w:t>lipoprotein(</w:t>
      </w:r>
      <w:proofErr w:type="gramEnd"/>
      <w:r>
        <w:t>a) [Lp(a)]. Plasma concentrations of apoB reflect the total number of atherogenic particles present in the circulation because each of these contains one molecule of apoB. Like LDL-cholesterol, an increased plasma concentration of apoB has been shown to be a key risk factor for the development of atherosclerotic CVD.</w:t>
      </w:r>
    </w:p>
    <w:p w:rsidR="00DA6EBA" w:rsidRDefault="00DA6EBA" w:rsidP="00DA6EBA">
      <w:pPr>
        <w:spacing w:before="0" w:after="0"/>
        <w:ind w:left="357"/>
      </w:pPr>
      <w:r>
        <w:t>In a series of prospective epidemiological studies, plasma apoB (a measure of the number of VLDL, IDL, LDL, and Lp(a) particles), as measured by immunoassay, has been shown to be superior to LDL-cholesterol (a measure of the mass of cholesterol within LDL, IDL and Lp(a) particles) and non-HDL-cholesterol (a measure of the mass of cholesterol within VLDL, IDL, LDL, and Lp(a) particles) as markers of cardiovascular risk.</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DA6EBA" w:rsidP="00A6491A">
      <w:pPr>
        <w:spacing w:before="0" w:after="0"/>
        <w:ind w:left="284"/>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603EE6">
        <w:rPr>
          <w:szCs w:val="20"/>
        </w:rPr>
      </w:r>
      <w:r w:rsidR="00603EE6">
        <w:rPr>
          <w:szCs w:val="20"/>
        </w:rPr>
        <w:fldChar w:fldCharType="separate"/>
      </w:r>
      <w:r>
        <w:rPr>
          <w:szCs w:val="20"/>
        </w:rPr>
        <w:fldChar w:fldCharType="end"/>
      </w:r>
      <w:bookmarkEnd w:id="1"/>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DA6EBA" w:rsidP="00A6491A">
      <w:pPr>
        <w:spacing w:before="0" w:after="0"/>
        <w:ind w:left="284"/>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603EE6">
        <w:rPr>
          <w:szCs w:val="20"/>
        </w:rPr>
      </w:r>
      <w:r w:rsidR="00603EE6">
        <w:rPr>
          <w:szCs w:val="20"/>
        </w:rPr>
        <w:fldChar w:fldCharType="separate"/>
      </w:r>
      <w:r>
        <w:rPr>
          <w:szCs w:val="20"/>
        </w:rPr>
        <w:fldChar w:fldCharType="end"/>
      </w:r>
      <w:bookmarkEnd w:id="2"/>
      <w:r w:rsidR="006B6390">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DA6EBA" w:rsidP="00A6491A">
      <w:pPr>
        <w:ind w:left="284"/>
      </w:pPr>
      <w:r>
        <w:t>N/A</w:t>
      </w:r>
    </w:p>
    <w:p w:rsidR="006C0843"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DA6EBA" w:rsidRPr="00DA6EBA" w:rsidRDefault="00DA6EBA" w:rsidP="00DA6EBA">
      <w:pPr>
        <w:ind w:left="360"/>
      </w:pPr>
      <w:r>
        <w:t>N/A</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03EE6">
        <w:rPr>
          <w:b/>
          <w:szCs w:val="20"/>
        </w:rPr>
      </w:r>
      <w:r w:rsidR="00603EE6">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03EE6">
        <w:rPr>
          <w:b/>
          <w:szCs w:val="20"/>
        </w:rPr>
      </w:r>
      <w:r w:rsidR="00603EE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DA6EBA"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03EE6">
        <w:rPr>
          <w:b/>
          <w:szCs w:val="20"/>
        </w:rPr>
      </w:r>
      <w:r w:rsidR="00603EE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03EE6">
        <w:rPr>
          <w:b/>
          <w:szCs w:val="20"/>
        </w:rPr>
      </w:r>
      <w:r w:rsidR="00603EE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Yes</w:t>
      </w:r>
    </w:p>
    <w:p w:rsidR="00626365" w:rsidRDefault="00DA6EBA"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0A5B32" w:rsidRPr="000A5B32">
        <w:rPr>
          <w:szCs w:val="20"/>
        </w:rPr>
        <w:t xml:space="preserve"> No</w:t>
      </w:r>
    </w:p>
    <w:p w:rsidR="00626365" w:rsidRDefault="00626365" w:rsidP="00626365">
      <w:pPr>
        <w:spacing w:before="0" w:after="0"/>
        <w:ind w:left="284"/>
        <w:rPr>
          <w:szCs w:val="20"/>
        </w:rPr>
      </w:pPr>
      <w:r>
        <w:rPr>
          <w:szCs w:val="20"/>
        </w:rPr>
        <w:br w:type="page"/>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2203BC" w:rsidP="00A6491A">
      <w:pPr>
        <w:ind w:left="284"/>
        <w:rPr>
          <w:rStyle w:val="Strong"/>
        </w:rPr>
      </w:pPr>
      <w:r>
        <w:t>N/A</w:t>
      </w:r>
    </w:p>
    <w:p w:rsidR="000B3CD0" w:rsidRDefault="000B3CD0" w:rsidP="00730C04">
      <w:pPr>
        <w:pStyle w:val="Heading2"/>
      </w:pPr>
      <w:r w:rsidRPr="00154B00">
        <w:t xml:space="preserve">What is the type of </w:t>
      </w:r>
      <w:proofErr w:type="gramStart"/>
      <w:r w:rsidRPr="00154B00">
        <w:t>service:</w:t>
      </w:r>
      <w:proofErr w:type="gramEnd"/>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2203B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03EE6">
        <w:rPr>
          <w:b/>
          <w:szCs w:val="20"/>
        </w:rPr>
      </w:r>
      <w:r w:rsidR="00603EE6">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2203B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rsidR="00A6594E" w:rsidRDefault="002203B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A6594E" w:rsidRPr="00AF4466">
        <w:rPr>
          <w:b/>
          <w:szCs w:val="20"/>
        </w:rPr>
        <w:t xml:space="preserve"> </w:t>
      </w:r>
      <w:r w:rsidR="00A6594E">
        <w:t>Provides information about prognosis</w:t>
      </w:r>
    </w:p>
    <w:p w:rsidR="00A6594E" w:rsidRDefault="002203B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A6594E" w:rsidRPr="00A6594E" w:rsidRDefault="002203B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2203B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00FE16C1" w:rsidRPr="0027105F">
        <w:rPr>
          <w:b/>
          <w:szCs w:val="20"/>
        </w:rPr>
        <w:t xml:space="preserve"> </w:t>
      </w:r>
      <w:r w:rsidR="00FE16C1">
        <w:t>No</w:t>
      </w:r>
    </w:p>
    <w:p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2203BC" w:rsidRPr="002203BC" w:rsidRDefault="002203BC" w:rsidP="002203BC">
      <w:pPr>
        <w:ind w:left="284"/>
      </w:pPr>
      <w:r>
        <w:t>N/A</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Yes</w:t>
      </w:r>
    </w:p>
    <w:p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2203BC" w:rsidRDefault="002203BC" w:rsidP="002203BC">
      <w:pPr>
        <w:ind w:left="360"/>
        <w:rPr>
          <w:szCs w:val="20"/>
        </w:rPr>
      </w:pPr>
      <w:r w:rsidRPr="002203BC">
        <w:rPr>
          <w:szCs w:val="20"/>
        </w:rPr>
        <w:t>N/A</w:t>
      </w:r>
    </w:p>
    <w:p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2203BC" w:rsidRPr="002203BC" w:rsidRDefault="002203BC" w:rsidP="002203BC">
      <w:pPr>
        <w:ind w:left="284"/>
      </w:pPr>
      <w:r>
        <w:t>N/A</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001E6919">
        <w:rPr>
          <w:szCs w:val="20"/>
        </w:rPr>
        <w:t xml:space="preserve"> No</w:t>
      </w:r>
    </w:p>
    <w:p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2203BC" w:rsidRPr="002203BC" w:rsidRDefault="002203BC" w:rsidP="002203BC">
      <w:pPr>
        <w:ind w:left="284"/>
      </w:pPr>
      <w:r>
        <w:t>N/A</w:t>
      </w:r>
    </w:p>
    <w:p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2203BC" w:rsidRPr="002203BC" w:rsidRDefault="002203BC" w:rsidP="002203BC">
      <w:pPr>
        <w:ind w:left="284"/>
      </w:pPr>
      <w:r>
        <w:t>N/A</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Yes</w:t>
      </w:r>
    </w:p>
    <w:p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  </w:t>
      </w:r>
    </w:p>
    <w:p w:rsidR="001E6919" w:rsidRDefault="001E6919" w:rsidP="00A6491A">
      <w:pPr>
        <w:spacing w:before="0" w:after="0"/>
        <w:ind w:left="284"/>
        <w:rPr>
          <w:szCs w:val="20"/>
        </w:rPr>
      </w:pPr>
      <w:r>
        <w:rPr>
          <w:szCs w:val="20"/>
        </w:rPr>
        <w:br w:type="page"/>
      </w:r>
    </w:p>
    <w:p w:rsidR="001E6919" w:rsidRPr="001E6958" w:rsidRDefault="001E6919" w:rsidP="00A6491A">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2203BC" w:rsidRPr="002203BC" w:rsidRDefault="002203BC" w:rsidP="002203BC">
      <w:pPr>
        <w:ind w:left="284"/>
      </w:pPr>
      <w:r>
        <w:t>N/A</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2203BC" w:rsidRPr="002203BC" w:rsidRDefault="002203BC" w:rsidP="002203BC">
      <w:pPr>
        <w:ind w:left="284"/>
      </w:pPr>
      <w:r>
        <w:t>N/A</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Yes</w:t>
      </w:r>
    </w:p>
    <w:p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  </w:t>
      </w:r>
    </w:p>
    <w:p w:rsidR="00016B6E"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2203BC" w:rsidRPr="002203BC" w:rsidRDefault="002203BC" w:rsidP="002203BC">
      <w:pPr>
        <w:ind w:left="284"/>
      </w:pPr>
      <w:r>
        <w:t>N/A</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2203BC" w:rsidRPr="002203BC" w:rsidRDefault="002203BC" w:rsidP="002203BC">
      <w:pPr>
        <w:ind w:left="284"/>
      </w:pPr>
      <w:r>
        <w:t>N/A</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9939DC" w:rsidP="00A6491A">
      <w:pPr>
        <w:spacing w:before="0" w:after="0"/>
        <w:ind w:left="284"/>
      </w:pPr>
      <w:r>
        <w:t xml:space="preserve">Single use consumables: </w:t>
      </w:r>
    </w:p>
    <w:p w:rsidR="002203BC" w:rsidRDefault="002203BC" w:rsidP="00A6491A">
      <w:pPr>
        <w:spacing w:before="0" w:after="0"/>
        <w:ind w:left="284"/>
      </w:pPr>
    </w:p>
    <w:p w:rsidR="002203BC" w:rsidRDefault="002203BC" w:rsidP="002203BC">
      <w:pPr>
        <w:spacing w:before="0" w:after="0"/>
        <w:ind w:left="284"/>
      </w:pPr>
      <w:r>
        <w:t xml:space="preserve">Several assays are available for this test and all require single use consumables such as laboratory pipette tips. </w:t>
      </w:r>
    </w:p>
    <w:p w:rsidR="002203BC" w:rsidRDefault="002203BC" w:rsidP="002203BC">
      <w:pPr>
        <w:spacing w:before="0" w:after="0"/>
        <w:ind w:left="284"/>
      </w:pPr>
      <w:r>
        <w:t>This application does not endorse any one specific commercial product. The IVD will be subject to TGA processes and laboratory validation. A detailed listing of all products and their consumables is beyond the scope of this application. It should be noted that new products will continue to be developed using the same scientific principles.</w:t>
      </w:r>
    </w:p>
    <w:p w:rsidR="002203BC" w:rsidRDefault="002203BC" w:rsidP="00A6491A">
      <w:pPr>
        <w:spacing w:before="0" w:after="0"/>
        <w:ind w:left="284"/>
      </w:pPr>
    </w:p>
    <w:p w:rsidR="00F301F1" w:rsidRPr="00855944" w:rsidRDefault="00F301F1" w:rsidP="00A6491A">
      <w:pPr>
        <w:spacing w:before="0" w:after="0"/>
        <w:ind w:left="284"/>
      </w:pPr>
      <w:r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2203BC" w:rsidRPr="002203BC">
        <w:rPr>
          <w:szCs w:val="20"/>
        </w:rPr>
        <w:t>In-vitro diagnostic test</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2203BC" w:rsidRPr="002203BC">
        <w:t>Various</w:t>
      </w:r>
    </w:p>
    <w:p w:rsidR="00A26343" w:rsidRPr="00A26343" w:rsidRDefault="00A26343" w:rsidP="00A6491A">
      <w:pPr>
        <w:spacing w:before="0" w:after="0"/>
        <w:ind w:left="284"/>
        <w:rPr>
          <w:szCs w:val="20"/>
        </w:rPr>
      </w:pPr>
      <w:r w:rsidRPr="00A26343">
        <w:rPr>
          <w:szCs w:val="20"/>
        </w:rPr>
        <w:t>Sponsor’s name</w:t>
      </w:r>
      <w:r>
        <w:rPr>
          <w:szCs w:val="20"/>
        </w:rPr>
        <w:t xml:space="preserve">: </w:t>
      </w:r>
      <w:r w:rsidR="002203BC" w:rsidRPr="002203BC">
        <w:t>Not applicable</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2203B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2203BC"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2203BC"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2203BC">
        <w:t>Various</w:t>
      </w:r>
    </w:p>
    <w:p w:rsidR="00C0796F" w:rsidRDefault="00C0796F" w:rsidP="00530204">
      <w:pPr>
        <w:pStyle w:val="Heading2"/>
      </w:pPr>
      <w:r w:rsidRPr="0043654D">
        <w:t>If the therapeutic good has not been listed, registered or included in the ARTG, is the therapeutic good in the process of being considered for inclusion by the TGA?</w:t>
      </w:r>
    </w:p>
    <w:p w:rsidR="002203BC" w:rsidRPr="002203BC" w:rsidRDefault="002203BC" w:rsidP="002203BC">
      <w:pPr>
        <w:ind w:left="284"/>
      </w:pPr>
      <w:r>
        <w:t>N/A</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Yes (please provide details below)</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2203BC" w:rsidRPr="002203BC" w:rsidRDefault="002203BC" w:rsidP="002203BC">
      <w:pPr>
        <w:ind w:left="284"/>
      </w:pPr>
      <w:r>
        <w:t>N/A</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Yes (please provide details below)</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F83A9D">
      <w:pPr>
        <w:rPr>
          <w:szCs w:val="20"/>
        </w:rPr>
      </w:pPr>
    </w:p>
    <w:p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p w:rsidR="002203BC" w:rsidRPr="00154B00" w:rsidRDefault="002203BC" w:rsidP="002203BC">
      <w:pPr>
        <w:pStyle w:val="ListParagraph"/>
        <w:ind w:left="360"/>
        <w:rPr>
          <w:b/>
          <w:szCs w:val="20"/>
        </w:rPr>
      </w:pPr>
    </w:p>
    <w:tbl>
      <w:tblPr>
        <w:tblW w:w="8850" w:type="dxa"/>
        <w:tblInd w:w="392" w:type="dxa"/>
        <w:tblLayout w:type="fixed"/>
        <w:tblLook w:val="04A0" w:firstRow="1" w:lastRow="0" w:firstColumn="1" w:lastColumn="0" w:noHBand="0" w:noVBand="1"/>
        <w:tblCaption w:val="Summary of Evidence"/>
        <w:tblDescription w:val="Key Journal articles or research published supporting the proposed medical service"/>
      </w:tblPr>
      <w:tblGrid>
        <w:gridCol w:w="454"/>
        <w:gridCol w:w="1105"/>
        <w:gridCol w:w="2410"/>
        <w:gridCol w:w="2268"/>
        <w:gridCol w:w="1559"/>
        <w:gridCol w:w="1054"/>
      </w:tblGrid>
      <w:tr w:rsidR="002203BC" w:rsidTr="00124673">
        <w:tc>
          <w:tcPr>
            <w:tcW w:w="454" w:type="dxa"/>
          </w:tcPr>
          <w:p w:rsidR="002203BC" w:rsidRPr="00E6464D" w:rsidRDefault="002203BC" w:rsidP="00790ECF">
            <w:pPr>
              <w:rPr>
                <w:b/>
                <w:sz w:val="18"/>
                <w:szCs w:val="18"/>
              </w:rPr>
            </w:pPr>
          </w:p>
        </w:tc>
        <w:tc>
          <w:tcPr>
            <w:tcW w:w="1105" w:type="dxa"/>
          </w:tcPr>
          <w:p w:rsidR="002203BC" w:rsidRPr="00E6464D" w:rsidRDefault="002203BC" w:rsidP="00790ECF">
            <w:pPr>
              <w:rPr>
                <w:b/>
                <w:sz w:val="18"/>
                <w:szCs w:val="18"/>
              </w:rPr>
            </w:pPr>
            <w:r w:rsidRPr="00E6464D">
              <w:rPr>
                <w:b/>
                <w:sz w:val="18"/>
                <w:szCs w:val="18"/>
              </w:rPr>
              <w:t>Type of study design*</w:t>
            </w:r>
          </w:p>
        </w:tc>
        <w:tc>
          <w:tcPr>
            <w:tcW w:w="2410" w:type="dxa"/>
          </w:tcPr>
          <w:p w:rsidR="002203BC" w:rsidRPr="00E6464D" w:rsidRDefault="002203BC" w:rsidP="00790ECF">
            <w:pPr>
              <w:rPr>
                <w:b/>
                <w:sz w:val="18"/>
                <w:szCs w:val="18"/>
              </w:rPr>
            </w:pPr>
            <w:r w:rsidRPr="00E6464D">
              <w:rPr>
                <w:b/>
                <w:sz w:val="18"/>
                <w:szCs w:val="18"/>
              </w:rPr>
              <w:t>Title of journal article  or research project (including any trial identifier or study lead if relevant)</w:t>
            </w:r>
          </w:p>
        </w:tc>
        <w:tc>
          <w:tcPr>
            <w:tcW w:w="2268" w:type="dxa"/>
          </w:tcPr>
          <w:p w:rsidR="002203BC" w:rsidRPr="00E6464D" w:rsidRDefault="002203BC" w:rsidP="00790ECF">
            <w:pPr>
              <w:rPr>
                <w:b/>
                <w:sz w:val="18"/>
                <w:szCs w:val="18"/>
              </w:rPr>
            </w:pPr>
            <w:r w:rsidRPr="00E6464D">
              <w:rPr>
                <w:b/>
                <w:sz w:val="18"/>
                <w:szCs w:val="18"/>
              </w:rPr>
              <w:t>Short description of research  (max 50 words)**</w:t>
            </w:r>
          </w:p>
        </w:tc>
        <w:tc>
          <w:tcPr>
            <w:tcW w:w="1559" w:type="dxa"/>
          </w:tcPr>
          <w:p w:rsidR="002203BC" w:rsidRPr="00E6464D" w:rsidRDefault="002203BC" w:rsidP="00790ECF">
            <w:pPr>
              <w:rPr>
                <w:b/>
                <w:sz w:val="18"/>
                <w:szCs w:val="18"/>
              </w:rPr>
            </w:pPr>
            <w:r w:rsidRPr="00E6464D">
              <w:rPr>
                <w:b/>
                <w:sz w:val="18"/>
                <w:szCs w:val="18"/>
              </w:rPr>
              <w:t>Website link to journal article or research (if available)</w:t>
            </w:r>
          </w:p>
        </w:tc>
        <w:tc>
          <w:tcPr>
            <w:tcW w:w="1054" w:type="dxa"/>
          </w:tcPr>
          <w:p w:rsidR="002203BC" w:rsidRPr="00E6464D" w:rsidRDefault="002203BC" w:rsidP="00790ECF">
            <w:pPr>
              <w:rPr>
                <w:b/>
                <w:sz w:val="18"/>
                <w:szCs w:val="18"/>
              </w:rPr>
            </w:pPr>
            <w:r w:rsidRPr="00E6464D">
              <w:rPr>
                <w:b/>
                <w:sz w:val="18"/>
                <w:szCs w:val="18"/>
              </w:rPr>
              <w:t>Date of publication***</w:t>
            </w:r>
          </w:p>
        </w:tc>
      </w:tr>
      <w:tr w:rsidR="002203BC" w:rsidRPr="00314844" w:rsidTr="00124673">
        <w:tc>
          <w:tcPr>
            <w:tcW w:w="454" w:type="dxa"/>
          </w:tcPr>
          <w:p w:rsidR="002203BC" w:rsidRPr="00E6464D" w:rsidRDefault="002203BC" w:rsidP="00790ECF">
            <w:pPr>
              <w:rPr>
                <w:sz w:val="18"/>
                <w:szCs w:val="18"/>
              </w:rPr>
            </w:pPr>
            <w:r>
              <w:rPr>
                <w:sz w:val="18"/>
                <w:szCs w:val="18"/>
              </w:rPr>
              <w:t>1</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effectiveness study</w:t>
            </w:r>
          </w:p>
        </w:tc>
        <w:tc>
          <w:tcPr>
            <w:tcW w:w="2410" w:type="dxa"/>
          </w:tcPr>
          <w:p w:rsidR="002203BC" w:rsidRPr="00E6464D" w:rsidRDefault="002203BC" w:rsidP="00790ECF">
            <w:pPr>
              <w:rPr>
                <w:sz w:val="18"/>
                <w:szCs w:val="18"/>
              </w:rPr>
            </w:pPr>
            <w:r w:rsidRPr="00E6464D">
              <w:rPr>
                <w:sz w:val="18"/>
                <w:szCs w:val="18"/>
              </w:rPr>
              <w:t>Brown WV et al. Should we use apoB for risk assessment and as a target for treatment? J Clin Lipidol 2010; 4: 144-151.</w:t>
            </w:r>
          </w:p>
        </w:tc>
        <w:tc>
          <w:tcPr>
            <w:tcW w:w="2268" w:type="dxa"/>
          </w:tcPr>
          <w:p w:rsidR="002203BC" w:rsidRPr="00E6464D" w:rsidRDefault="002203BC" w:rsidP="00790ECF">
            <w:pPr>
              <w:rPr>
                <w:sz w:val="18"/>
                <w:szCs w:val="18"/>
              </w:rPr>
            </w:pPr>
            <w:r w:rsidRPr="00E6464D">
              <w:rPr>
                <w:sz w:val="18"/>
                <w:szCs w:val="18"/>
              </w:rPr>
              <w:t>A discussion of methods for the assessment of lipoprotein-related risk and the most appropriate component of lipoproteins for optimally judging clinical risk.</w:t>
            </w:r>
          </w:p>
        </w:tc>
        <w:tc>
          <w:tcPr>
            <w:tcW w:w="1559" w:type="dxa"/>
          </w:tcPr>
          <w:p w:rsidR="002203BC" w:rsidRDefault="00603EE6" w:rsidP="009559EB">
            <w:pPr>
              <w:rPr>
                <w:sz w:val="18"/>
                <w:szCs w:val="18"/>
              </w:rPr>
            </w:pPr>
            <w:hyperlink r:id="rId12" w:history="1">
              <w:r w:rsidR="009559EB">
                <w:rPr>
                  <w:rStyle w:val="Hyperlink"/>
                  <w:sz w:val="18"/>
                  <w:szCs w:val="18"/>
                </w:rPr>
                <w:t>Should we use apoB for risk assessment and as a target for treatment?</w:t>
              </w:r>
            </w:hyperlink>
          </w:p>
          <w:p w:rsidR="009559EB" w:rsidRPr="009559EB" w:rsidRDefault="009559EB" w:rsidP="009559EB">
            <w:pPr>
              <w:jc w:val="center"/>
              <w:rPr>
                <w:sz w:val="18"/>
                <w:szCs w:val="18"/>
              </w:rPr>
            </w:pPr>
          </w:p>
        </w:tc>
        <w:tc>
          <w:tcPr>
            <w:tcW w:w="1054" w:type="dxa"/>
          </w:tcPr>
          <w:p w:rsidR="002203BC" w:rsidRPr="00E6464D" w:rsidRDefault="002203BC" w:rsidP="00790ECF">
            <w:pPr>
              <w:rPr>
                <w:sz w:val="18"/>
                <w:szCs w:val="18"/>
              </w:rPr>
            </w:pPr>
            <w:r w:rsidRPr="00E6464D">
              <w:rPr>
                <w:sz w:val="18"/>
                <w:szCs w:val="18"/>
              </w:rPr>
              <w:t xml:space="preserve">3 Dec 2010  </w:t>
            </w:r>
          </w:p>
        </w:tc>
      </w:tr>
      <w:tr w:rsidR="002203BC" w:rsidRPr="00314844" w:rsidTr="00124673">
        <w:tc>
          <w:tcPr>
            <w:tcW w:w="454" w:type="dxa"/>
          </w:tcPr>
          <w:p w:rsidR="002203BC" w:rsidRPr="00E6464D" w:rsidRDefault="002203BC" w:rsidP="00790ECF">
            <w:pPr>
              <w:rPr>
                <w:sz w:val="18"/>
                <w:szCs w:val="18"/>
              </w:rPr>
            </w:pPr>
            <w:r>
              <w:rPr>
                <w:sz w:val="18"/>
                <w:szCs w:val="18"/>
              </w:rPr>
              <w:t>2</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effectiveness study</w:t>
            </w:r>
          </w:p>
        </w:tc>
        <w:tc>
          <w:tcPr>
            <w:tcW w:w="2410" w:type="dxa"/>
          </w:tcPr>
          <w:p w:rsidR="002203BC" w:rsidRPr="00E6464D" w:rsidRDefault="002203BC" w:rsidP="00790ECF">
            <w:pPr>
              <w:rPr>
                <w:sz w:val="18"/>
                <w:szCs w:val="18"/>
              </w:rPr>
            </w:pPr>
            <w:proofErr w:type="gramStart"/>
            <w:r w:rsidRPr="00E6464D">
              <w:rPr>
                <w:sz w:val="18"/>
                <w:szCs w:val="18"/>
              </w:rPr>
              <w:t>de</w:t>
            </w:r>
            <w:proofErr w:type="gramEnd"/>
            <w:r w:rsidRPr="00E6464D">
              <w:rPr>
                <w:sz w:val="18"/>
                <w:szCs w:val="18"/>
              </w:rPr>
              <w:t xml:space="preserve"> Nijs T, Sniderman A, de Graaf J. ApoB versus non-HDL-cholesterol: diagnosis and cardiovascular risk management. Crit Rev Clin Lab Sci 2013; 50: 163-171.</w:t>
            </w:r>
          </w:p>
        </w:tc>
        <w:tc>
          <w:tcPr>
            <w:tcW w:w="2268" w:type="dxa"/>
          </w:tcPr>
          <w:p w:rsidR="002203BC" w:rsidRPr="00E6464D" w:rsidRDefault="002203BC" w:rsidP="00790ECF">
            <w:pPr>
              <w:rPr>
                <w:sz w:val="18"/>
                <w:szCs w:val="18"/>
              </w:rPr>
            </w:pPr>
            <w:r w:rsidRPr="00E6464D">
              <w:rPr>
                <w:sz w:val="18"/>
                <w:szCs w:val="18"/>
              </w:rPr>
              <w:t>A study of the differences between LDL-C, non-HDL-C, and apoB and a summary of evidence relating to LDL-C, non-HDL-C, and apoB as predictors of cardiovascular risk and as targets for treatment. The study demonstrates that diagnosis of atherogenic dyslipoprotein</w:t>
            </w:r>
            <w:r>
              <w:rPr>
                <w:sz w:val="18"/>
                <w:szCs w:val="18"/>
              </w:rPr>
              <w:t>a</w:t>
            </w:r>
            <w:r w:rsidRPr="00E6464D">
              <w:rPr>
                <w:sz w:val="18"/>
                <w:szCs w:val="18"/>
              </w:rPr>
              <w:t>emias is a clinical priority.</w:t>
            </w:r>
          </w:p>
        </w:tc>
        <w:tc>
          <w:tcPr>
            <w:tcW w:w="1559" w:type="dxa"/>
          </w:tcPr>
          <w:p w:rsidR="002203BC" w:rsidRPr="00E6464D" w:rsidRDefault="00603EE6" w:rsidP="00790ECF">
            <w:pPr>
              <w:rPr>
                <w:sz w:val="18"/>
                <w:szCs w:val="18"/>
              </w:rPr>
            </w:pPr>
            <w:hyperlink r:id="rId13" w:history="1">
              <w:r w:rsidR="009559EB">
                <w:rPr>
                  <w:rStyle w:val="Hyperlink"/>
                  <w:sz w:val="18"/>
                  <w:szCs w:val="18"/>
                </w:rPr>
                <w:t>ApoB versus non-HDL-cholesterol: Diagnosis and cardiovascular risk management</w:t>
              </w:r>
            </w:hyperlink>
            <w:r w:rsidR="002203BC" w:rsidRPr="00E6464D">
              <w:rPr>
                <w:sz w:val="18"/>
                <w:szCs w:val="18"/>
              </w:rPr>
              <w:t xml:space="preserve">. </w:t>
            </w:r>
          </w:p>
        </w:tc>
        <w:tc>
          <w:tcPr>
            <w:tcW w:w="1054" w:type="dxa"/>
          </w:tcPr>
          <w:p w:rsidR="002203BC" w:rsidRPr="00E6464D" w:rsidRDefault="002203BC" w:rsidP="00790ECF">
            <w:pPr>
              <w:rPr>
                <w:sz w:val="18"/>
                <w:szCs w:val="18"/>
              </w:rPr>
            </w:pPr>
            <w:r w:rsidRPr="00E6464D">
              <w:rPr>
                <w:sz w:val="18"/>
                <w:szCs w:val="18"/>
              </w:rPr>
              <w:t>4 Dec 2013</w:t>
            </w:r>
          </w:p>
        </w:tc>
      </w:tr>
      <w:tr w:rsidR="002203BC" w:rsidTr="00124673">
        <w:tc>
          <w:tcPr>
            <w:tcW w:w="454" w:type="dxa"/>
          </w:tcPr>
          <w:p w:rsidR="002203BC" w:rsidRPr="00E6464D" w:rsidRDefault="002203BC" w:rsidP="00790ECF">
            <w:pPr>
              <w:rPr>
                <w:sz w:val="18"/>
                <w:szCs w:val="18"/>
              </w:rPr>
            </w:pPr>
            <w:r>
              <w:rPr>
                <w:sz w:val="18"/>
                <w:szCs w:val="18"/>
              </w:rPr>
              <w:t>3</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Case-controlled study</w:t>
            </w:r>
          </w:p>
        </w:tc>
        <w:tc>
          <w:tcPr>
            <w:tcW w:w="2410" w:type="dxa"/>
          </w:tcPr>
          <w:p w:rsidR="002203BC" w:rsidRPr="00E6464D" w:rsidRDefault="002203BC" w:rsidP="00790ECF">
            <w:pPr>
              <w:rPr>
                <w:sz w:val="18"/>
                <w:szCs w:val="18"/>
              </w:rPr>
            </w:pPr>
            <w:r w:rsidRPr="00E6464D">
              <w:rPr>
                <w:sz w:val="18"/>
                <w:szCs w:val="18"/>
              </w:rPr>
              <w:t>McQueen MJ, Hawken S, Wang X, et al. Lipids, lipoproteins, and apolipoproteins as risk markers of myocardial infarction in 52 countries (the INTERHEART study): a case-controlled study. Lancet 2008; 372: 224-233.</w:t>
            </w:r>
          </w:p>
        </w:tc>
        <w:tc>
          <w:tcPr>
            <w:tcW w:w="2268" w:type="dxa"/>
          </w:tcPr>
          <w:p w:rsidR="002203BC" w:rsidRPr="00E6464D" w:rsidRDefault="002203BC" w:rsidP="00790ECF">
            <w:pPr>
              <w:rPr>
                <w:sz w:val="18"/>
                <w:szCs w:val="18"/>
              </w:rPr>
            </w:pPr>
            <w:r w:rsidRPr="00E6464D">
              <w:rPr>
                <w:sz w:val="18"/>
                <w:szCs w:val="18"/>
              </w:rPr>
              <w:t xml:space="preserve">The study concluded that the non-fasting </w:t>
            </w:r>
            <w:r>
              <w:rPr>
                <w:sz w:val="18"/>
                <w:szCs w:val="18"/>
              </w:rPr>
              <w:t>a</w:t>
            </w:r>
            <w:r w:rsidRPr="00E6464D">
              <w:rPr>
                <w:sz w:val="18"/>
                <w:szCs w:val="18"/>
              </w:rPr>
              <w:t>poB/</w:t>
            </w:r>
            <w:r>
              <w:rPr>
                <w:sz w:val="18"/>
                <w:szCs w:val="18"/>
              </w:rPr>
              <w:t>a</w:t>
            </w:r>
            <w:r w:rsidRPr="00E6464D">
              <w:rPr>
                <w:sz w:val="18"/>
                <w:szCs w:val="18"/>
              </w:rPr>
              <w:t>poA</w:t>
            </w:r>
            <w:r>
              <w:rPr>
                <w:sz w:val="18"/>
                <w:szCs w:val="18"/>
              </w:rPr>
              <w:t>-I</w:t>
            </w:r>
            <w:r w:rsidRPr="00E6464D">
              <w:rPr>
                <w:sz w:val="18"/>
                <w:szCs w:val="18"/>
              </w:rPr>
              <w:t xml:space="preserve"> ratio was superior to any of the cholesterol ratios for estimation of the risk of acute myocardial infarction in all ethnic groups, in both sexes, and at all ages, and it should be introduced into worldwide clinical practice.</w:t>
            </w:r>
          </w:p>
        </w:tc>
        <w:tc>
          <w:tcPr>
            <w:tcW w:w="1559" w:type="dxa"/>
          </w:tcPr>
          <w:p w:rsidR="002203BC" w:rsidRPr="00E6464D" w:rsidRDefault="00603EE6" w:rsidP="00790ECF">
            <w:pPr>
              <w:rPr>
                <w:sz w:val="18"/>
                <w:szCs w:val="18"/>
              </w:rPr>
            </w:pPr>
            <w:hyperlink r:id="rId14" w:history="1">
              <w:r w:rsidR="00790ECF">
                <w:rPr>
                  <w:rStyle w:val="Hyperlink"/>
                  <w:sz w:val="18"/>
                  <w:szCs w:val="18"/>
                </w:rPr>
                <w:t>Lipids, lipoproteins, and apolipoproteins as risk markers of myocardial infarction in 52 countries (the INTERHEART study): a case-control study</w:t>
              </w:r>
            </w:hyperlink>
            <w:r w:rsidR="002203BC" w:rsidRPr="00E6464D">
              <w:rPr>
                <w:sz w:val="18"/>
                <w:szCs w:val="18"/>
              </w:rPr>
              <w:t xml:space="preserve">. </w:t>
            </w:r>
          </w:p>
        </w:tc>
        <w:tc>
          <w:tcPr>
            <w:tcW w:w="1054" w:type="dxa"/>
          </w:tcPr>
          <w:p w:rsidR="002203BC" w:rsidRPr="00E6464D" w:rsidRDefault="002203BC" w:rsidP="00790ECF">
            <w:pPr>
              <w:rPr>
                <w:sz w:val="18"/>
                <w:szCs w:val="18"/>
              </w:rPr>
            </w:pPr>
            <w:r w:rsidRPr="00E6464D">
              <w:rPr>
                <w:sz w:val="18"/>
                <w:szCs w:val="18"/>
              </w:rPr>
              <w:t>22 Jul 2008</w:t>
            </w:r>
          </w:p>
        </w:tc>
      </w:tr>
      <w:tr w:rsidR="002203BC" w:rsidTr="00124673">
        <w:tc>
          <w:tcPr>
            <w:tcW w:w="454" w:type="dxa"/>
          </w:tcPr>
          <w:p w:rsidR="002203BC" w:rsidRPr="00E6464D" w:rsidRDefault="002203BC" w:rsidP="00790ECF">
            <w:pPr>
              <w:rPr>
                <w:sz w:val="18"/>
                <w:szCs w:val="18"/>
              </w:rPr>
            </w:pPr>
            <w:r>
              <w:rPr>
                <w:sz w:val="18"/>
                <w:szCs w:val="18"/>
              </w:rPr>
              <w:t>4</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effectiveness study</w:t>
            </w:r>
          </w:p>
        </w:tc>
        <w:tc>
          <w:tcPr>
            <w:tcW w:w="2410" w:type="dxa"/>
          </w:tcPr>
          <w:p w:rsidR="002203BC" w:rsidRPr="00E6464D" w:rsidRDefault="002203BC" w:rsidP="00790ECF">
            <w:pPr>
              <w:rPr>
                <w:sz w:val="18"/>
                <w:szCs w:val="18"/>
              </w:rPr>
            </w:pPr>
            <w:r w:rsidRPr="00E6464D">
              <w:rPr>
                <w:sz w:val="18"/>
                <w:szCs w:val="18"/>
              </w:rPr>
              <w:t>Pencina MJ, D'Agostino RB, Zdrojewski T, et al.  Apolipoprotein B improves risk assessment of future coronary heart disease in the Framingham Heart Study beyond LDL-C and non-HDL-C. Eur J Prev Cardiol 2015; 22: 1321-1327.</w:t>
            </w:r>
          </w:p>
        </w:tc>
        <w:tc>
          <w:tcPr>
            <w:tcW w:w="2268" w:type="dxa"/>
          </w:tcPr>
          <w:p w:rsidR="002203BC" w:rsidRPr="00E6464D" w:rsidRDefault="002203BC" w:rsidP="00790ECF">
            <w:pPr>
              <w:rPr>
                <w:sz w:val="18"/>
                <w:szCs w:val="18"/>
              </w:rPr>
            </w:pPr>
            <w:r w:rsidRPr="00E6464D">
              <w:rPr>
                <w:sz w:val="18"/>
                <w:szCs w:val="18"/>
              </w:rPr>
              <w:t>Results from the Framingham Heart Study demonstrating that apoB improves risk assessment of future coronary heart disease compared with LDL-C or non-HDL-C, consistent with coronary risk being more closely related to the number of atherogenic apoB particles than to the mass of cholesterol within them.</w:t>
            </w:r>
          </w:p>
        </w:tc>
        <w:tc>
          <w:tcPr>
            <w:tcW w:w="1559" w:type="dxa"/>
          </w:tcPr>
          <w:p w:rsidR="002203BC" w:rsidRPr="00E6464D" w:rsidRDefault="00603EE6" w:rsidP="00790ECF">
            <w:pPr>
              <w:rPr>
                <w:sz w:val="18"/>
                <w:szCs w:val="18"/>
              </w:rPr>
            </w:pPr>
            <w:hyperlink r:id="rId15" w:history="1">
              <w:r w:rsidR="00DC2E55">
                <w:rPr>
                  <w:rStyle w:val="Hyperlink"/>
                  <w:sz w:val="18"/>
                  <w:szCs w:val="18"/>
                </w:rPr>
                <w:t>Apolipoprotein B improves risk assessment of future coronary heart disease in the Framingham Heart Study beyond LDL-C and non-HDL-C</w:t>
              </w:r>
            </w:hyperlink>
            <w:r w:rsidR="002203BC" w:rsidRPr="00E6464D">
              <w:rPr>
                <w:sz w:val="18"/>
                <w:szCs w:val="18"/>
              </w:rPr>
              <w:t xml:space="preserve">. </w:t>
            </w:r>
          </w:p>
        </w:tc>
        <w:tc>
          <w:tcPr>
            <w:tcW w:w="1054" w:type="dxa"/>
          </w:tcPr>
          <w:p w:rsidR="002203BC" w:rsidRPr="00E6464D" w:rsidRDefault="002203BC" w:rsidP="00790ECF">
            <w:pPr>
              <w:rPr>
                <w:sz w:val="18"/>
                <w:szCs w:val="18"/>
              </w:rPr>
            </w:pPr>
            <w:r w:rsidRPr="00E6464D">
              <w:rPr>
                <w:sz w:val="18"/>
                <w:szCs w:val="18"/>
              </w:rPr>
              <w:t>31 Jan 2015</w:t>
            </w:r>
          </w:p>
        </w:tc>
      </w:tr>
      <w:tr w:rsidR="002203BC" w:rsidTr="00124673">
        <w:tc>
          <w:tcPr>
            <w:tcW w:w="454" w:type="dxa"/>
          </w:tcPr>
          <w:p w:rsidR="002203BC" w:rsidRPr="00E6464D" w:rsidRDefault="002203BC" w:rsidP="00790ECF">
            <w:pPr>
              <w:rPr>
                <w:sz w:val="18"/>
                <w:szCs w:val="18"/>
              </w:rPr>
            </w:pPr>
            <w:r>
              <w:rPr>
                <w:sz w:val="18"/>
                <w:szCs w:val="18"/>
              </w:rPr>
              <w:t>5</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w:t>
            </w:r>
            <w:r w:rsidRPr="00E6464D">
              <w:rPr>
                <w:sz w:val="18"/>
                <w:szCs w:val="18"/>
              </w:rPr>
              <w:lastRenderedPageBreak/>
              <w:t>ss study</w:t>
            </w:r>
          </w:p>
        </w:tc>
        <w:tc>
          <w:tcPr>
            <w:tcW w:w="2410" w:type="dxa"/>
          </w:tcPr>
          <w:p w:rsidR="002203BC" w:rsidRPr="00E6464D" w:rsidRDefault="002203BC" w:rsidP="00790ECF">
            <w:pPr>
              <w:rPr>
                <w:sz w:val="18"/>
                <w:szCs w:val="18"/>
              </w:rPr>
            </w:pPr>
            <w:r w:rsidRPr="00E6464D">
              <w:rPr>
                <w:sz w:val="18"/>
                <w:szCs w:val="18"/>
              </w:rPr>
              <w:lastRenderedPageBreak/>
              <w:t xml:space="preserve">Sniderman A, Couture P, de Graaf J.  Diagnosis and </w:t>
            </w:r>
            <w:r w:rsidRPr="00E6464D">
              <w:rPr>
                <w:sz w:val="18"/>
                <w:szCs w:val="18"/>
              </w:rPr>
              <w:lastRenderedPageBreak/>
              <w:t>treatment of apolipoprotein B dyslipoproteinemias. Nat Rev Endocrinol 2010; 6: 335-346.</w:t>
            </w:r>
          </w:p>
        </w:tc>
        <w:tc>
          <w:tcPr>
            <w:tcW w:w="2268" w:type="dxa"/>
          </w:tcPr>
          <w:p w:rsidR="002203BC" w:rsidRPr="00E6464D" w:rsidRDefault="002203BC" w:rsidP="00790ECF">
            <w:pPr>
              <w:rPr>
                <w:sz w:val="18"/>
                <w:szCs w:val="18"/>
              </w:rPr>
            </w:pPr>
            <w:r w:rsidRPr="00E6464D">
              <w:rPr>
                <w:sz w:val="18"/>
                <w:szCs w:val="18"/>
              </w:rPr>
              <w:lastRenderedPageBreak/>
              <w:t xml:space="preserve">A review of the diagnostic algorithm for apoB </w:t>
            </w:r>
            <w:r w:rsidRPr="00E6464D">
              <w:rPr>
                <w:sz w:val="18"/>
                <w:szCs w:val="18"/>
              </w:rPr>
              <w:lastRenderedPageBreak/>
              <w:t>dyslipoprotein</w:t>
            </w:r>
            <w:r>
              <w:rPr>
                <w:sz w:val="18"/>
                <w:szCs w:val="18"/>
              </w:rPr>
              <w:t>a</w:t>
            </w:r>
            <w:r w:rsidRPr="00E6464D">
              <w:rPr>
                <w:sz w:val="18"/>
                <w:szCs w:val="18"/>
              </w:rPr>
              <w:t>emias demonstrating the effectiveness of a treatment plan on the basis of a reduction of atherogenic lipoprotein particles rather than plasma lipids</w:t>
            </w:r>
            <w:r>
              <w:rPr>
                <w:sz w:val="18"/>
                <w:szCs w:val="18"/>
              </w:rPr>
              <w:t>.</w:t>
            </w:r>
          </w:p>
        </w:tc>
        <w:tc>
          <w:tcPr>
            <w:tcW w:w="1559" w:type="dxa"/>
          </w:tcPr>
          <w:p w:rsidR="002203BC" w:rsidRPr="00E6464D" w:rsidRDefault="00603EE6" w:rsidP="00790ECF">
            <w:pPr>
              <w:rPr>
                <w:sz w:val="18"/>
                <w:szCs w:val="18"/>
              </w:rPr>
            </w:pPr>
            <w:hyperlink r:id="rId16" w:history="1">
              <w:r w:rsidR="00E620CE">
                <w:rPr>
                  <w:rStyle w:val="Hyperlink"/>
                  <w:sz w:val="18"/>
                  <w:szCs w:val="18"/>
                </w:rPr>
                <w:t xml:space="preserve">Diagnosis and treatment of </w:t>
              </w:r>
              <w:r w:rsidR="00E620CE">
                <w:rPr>
                  <w:rStyle w:val="Hyperlink"/>
                  <w:sz w:val="18"/>
                  <w:szCs w:val="18"/>
                </w:rPr>
                <w:lastRenderedPageBreak/>
                <w:t>apolipoprotein B dyslipoproteinemias</w:t>
              </w:r>
            </w:hyperlink>
            <w:r w:rsidR="002203BC" w:rsidRPr="00E6464D">
              <w:rPr>
                <w:sz w:val="18"/>
                <w:szCs w:val="18"/>
              </w:rPr>
              <w:t xml:space="preserve">. </w:t>
            </w:r>
          </w:p>
        </w:tc>
        <w:tc>
          <w:tcPr>
            <w:tcW w:w="1054" w:type="dxa"/>
          </w:tcPr>
          <w:p w:rsidR="002203BC" w:rsidRPr="00E6464D" w:rsidRDefault="002203BC" w:rsidP="00790ECF">
            <w:pPr>
              <w:rPr>
                <w:sz w:val="18"/>
                <w:szCs w:val="18"/>
              </w:rPr>
            </w:pPr>
            <w:r w:rsidRPr="00E6464D">
              <w:rPr>
                <w:sz w:val="18"/>
                <w:szCs w:val="18"/>
              </w:rPr>
              <w:lastRenderedPageBreak/>
              <w:t xml:space="preserve">28 Apr </w:t>
            </w:r>
            <w:r w:rsidRPr="00E6464D">
              <w:rPr>
                <w:sz w:val="18"/>
                <w:szCs w:val="18"/>
              </w:rPr>
              <w:lastRenderedPageBreak/>
              <w:t>2010</w:t>
            </w:r>
          </w:p>
        </w:tc>
      </w:tr>
      <w:tr w:rsidR="002203BC" w:rsidRPr="00314844" w:rsidTr="00124673">
        <w:tc>
          <w:tcPr>
            <w:tcW w:w="454" w:type="dxa"/>
          </w:tcPr>
          <w:p w:rsidR="002203BC" w:rsidRPr="00E6464D" w:rsidRDefault="002203BC" w:rsidP="00790ECF">
            <w:pPr>
              <w:rPr>
                <w:sz w:val="18"/>
                <w:szCs w:val="18"/>
              </w:rPr>
            </w:pPr>
            <w:r>
              <w:rPr>
                <w:sz w:val="18"/>
                <w:szCs w:val="18"/>
              </w:rPr>
              <w:lastRenderedPageBreak/>
              <w:t>6</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effectiveness study</w:t>
            </w:r>
          </w:p>
        </w:tc>
        <w:tc>
          <w:tcPr>
            <w:tcW w:w="2410" w:type="dxa"/>
          </w:tcPr>
          <w:p w:rsidR="002203BC" w:rsidRPr="00E6464D" w:rsidRDefault="002203BC" w:rsidP="00790ECF">
            <w:pPr>
              <w:rPr>
                <w:sz w:val="18"/>
                <w:szCs w:val="18"/>
              </w:rPr>
            </w:pPr>
            <w:r w:rsidRPr="00912092">
              <w:rPr>
                <w:sz w:val="18"/>
                <w:szCs w:val="18"/>
              </w:rPr>
              <w:t>Sniderman A, McQueen M, Contois J,</w:t>
            </w:r>
            <w:r w:rsidRPr="00E6464D">
              <w:rPr>
                <w:sz w:val="18"/>
                <w:szCs w:val="18"/>
              </w:rPr>
              <w:t xml:space="preserve"> Why is non-high-density lipoprotein cholesterol a better marker of the risk of vascular disease than low-density lipoprotein cholesterol. J Clin Lipidol 2010; 4: 152-155.</w:t>
            </w:r>
          </w:p>
        </w:tc>
        <w:tc>
          <w:tcPr>
            <w:tcW w:w="2268" w:type="dxa"/>
          </w:tcPr>
          <w:p w:rsidR="002203BC" w:rsidRPr="00E6464D" w:rsidRDefault="002203BC" w:rsidP="00790ECF">
            <w:pPr>
              <w:rPr>
                <w:sz w:val="18"/>
                <w:szCs w:val="18"/>
              </w:rPr>
            </w:pPr>
            <w:r w:rsidRPr="00E6464D">
              <w:rPr>
                <w:sz w:val="18"/>
                <w:szCs w:val="18"/>
              </w:rPr>
              <w:t>A discussion of methods for the assessment of cardiovascular risk concluding that information from non-HDL-C and apoB provides better risk assessment and a better target of therapy.</w:t>
            </w:r>
          </w:p>
        </w:tc>
        <w:tc>
          <w:tcPr>
            <w:tcW w:w="1559" w:type="dxa"/>
          </w:tcPr>
          <w:p w:rsidR="002203BC" w:rsidRPr="00E6464D" w:rsidRDefault="00603EE6" w:rsidP="00790ECF">
            <w:pPr>
              <w:rPr>
                <w:sz w:val="18"/>
                <w:szCs w:val="18"/>
              </w:rPr>
            </w:pPr>
            <w:hyperlink r:id="rId17" w:history="1">
              <w:r w:rsidR="00DC2E55">
                <w:rPr>
                  <w:rStyle w:val="Hyperlink"/>
                  <w:sz w:val="18"/>
                  <w:szCs w:val="18"/>
                </w:rPr>
                <w:t>Lipids, lipoproteins, and apolipoproteins as risk markers of myocardial infarction in 52 countries (the INTERHEART study): a case-control study</w:t>
              </w:r>
            </w:hyperlink>
          </w:p>
        </w:tc>
        <w:tc>
          <w:tcPr>
            <w:tcW w:w="1054" w:type="dxa"/>
          </w:tcPr>
          <w:p w:rsidR="002203BC" w:rsidRPr="00E6464D" w:rsidRDefault="002203BC" w:rsidP="00790ECF">
            <w:pPr>
              <w:rPr>
                <w:sz w:val="18"/>
                <w:szCs w:val="18"/>
              </w:rPr>
            </w:pPr>
            <w:r w:rsidRPr="00E6464D">
              <w:rPr>
                <w:sz w:val="18"/>
                <w:szCs w:val="18"/>
              </w:rPr>
              <w:t>3 Dec 2010</w:t>
            </w:r>
          </w:p>
        </w:tc>
      </w:tr>
      <w:tr w:rsidR="002203BC" w:rsidRPr="00314844" w:rsidTr="00124673">
        <w:tc>
          <w:tcPr>
            <w:tcW w:w="454" w:type="dxa"/>
          </w:tcPr>
          <w:p w:rsidR="002203BC" w:rsidRPr="00E6464D" w:rsidRDefault="002203BC" w:rsidP="00790ECF">
            <w:pPr>
              <w:rPr>
                <w:sz w:val="18"/>
                <w:szCs w:val="18"/>
              </w:rPr>
            </w:pPr>
            <w:r>
              <w:rPr>
                <w:sz w:val="18"/>
                <w:szCs w:val="18"/>
              </w:rPr>
              <w:t>7</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Case controlled study</w:t>
            </w:r>
          </w:p>
        </w:tc>
        <w:tc>
          <w:tcPr>
            <w:tcW w:w="2410" w:type="dxa"/>
          </w:tcPr>
          <w:p w:rsidR="002203BC" w:rsidRPr="00360375" w:rsidRDefault="002203BC" w:rsidP="00790ECF">
            <w:pPr>
              <w:rPr>
                <w:sz w:val="18"/>
                <w:szCs w:val="18"/>
              </w:rPr>
            </w:pPr>
            <w:r w:rsidRPr="00360375">
              <w:rPr>
                <w:sz w:val="18"/>
                <w:szCs w:val="18"/>
              </w:rPr>
              <w:t>Sniderman AD et al. Discordance analysis of apolipoprotein B and non-high density lipoprotein cholesterol as markers of cardiovascular risk in the INTERHEART study. Atherosclerosis 2012; 225: 444-449.</w:t>
            </w:r>
          </w:p>
        </w:tc>
        <w:tc>
          <w:tcPr>
            <w:tcW w:w="2268" w:type="dxa"/>
          </w:tcPr>
          <w:p w:rsidR="002203BC" w:rsidRPr="00360375" w:rsidRDefault="002203BC" w:rsidP="00790ECF">
            <w:pPr>
              <w:rPr>
                <w:sz w:val="18"/>
                <w:szCs w:val="18"/>
              </w:rPr>
            </w:pPr>
            <w:r w:rsidRPr="00360375">
              <w:rPr>
                <w:sz w:val="18"/>
                <w:szCs w:val="18"/>
              </w:rPr>
              <w:t>Results from the INTERHEART study using discordance analysis to compare non-HDL-C and apoB and demonstrating superiority of apoB for cardiovascular risk analysis.</w:t>
            </w:r>
          </w:p>
        </w:tc>
        <w:tc>
          <w:tcPr>
            <w:tcW w:w="1559" w:type="dxa"/>
          </w:tcPr>
          <w:p w:rsidR="002203BC" w:rsidRPr="00360375" w:rsidRDefault="00603EE6" w:rsidP="00790ECF">
            <w:pPr>
              <w:rPr>
                <w:sz w:val="18"/>
                <w:szCs w:val="18"/>
              </w:rPr>
            </w:pPr>
            <w:hyperlink r:id="rId18" w:history="1">
              <w:r w:rsidR="00DC2E55">
                <w:rPr>
                  <w:rStyle w:val="Hyperlink"/>
                  <w:sz w:val="18"/>
                  <w:szCs w:val="18"/>
                </w:rPr>
                <w:t>Discordance analysis of Apolipoprotein B and non-high density lipoprotein cholesterol as markers of cardiovascular risk in the INTERHEART study</w:t>
              </w:r>
            </w:hyperlink>
            <w:r w:rsidR="002203BC" w:rsidRPr="00360375">
              <w:rPr>
                <w:rStyle w:val="Hyperlink"/>
                <w:sz w:val="18"/>
                <w:szCs w:val="18"/>
              </w:rPr>
              <w:t xml:space="preserve"> </w:t>
            </w:r>
          </w:p>
        </w:tc>
        <w:tc>
          <w:tcPr>
            <w:tcW w:w="1054" w:type="dxa"/>
          </w:tcPr>
          <w:p w:rsidR="002203BC" w:rsidRPr="00360375" w:rsidRDefault="002203BC" w:rsidP="00790ECF">
            <w:pPr>
              <w:rPr>
                <w:sz w:val="18"/>
                <w:szCs w:val="18"/>
              </w:rPr>
            </w:pPr>
            <w:r w:rsidRPr="00360375">
              <w:rPr>
                <w:sz w:val="18"/>
                <w:szCs w:val="18"/>
              </w:rPr>
              <w:t>28 Apr 2010</w:t>
            </w:r>
          </w:p>
        </w:tc>
      </w:tr>
      <w:tr w:rsidR="002203BC" w:rsidRPr="00314844" w:rsidTr="00124673">
        <w:tc>
          <w:tcPr>
            <w:tcW w:w="454" w:type="dxa"/>
          </w:tcPr>
          <w:p w:rsidR="002203BC" w:rsidRPr="00E6464D" w:rsidRDefault="002203BC" w:rsidP="00790ECF">
            <w:pPr>
              <w:rPr>
                <w:sz w:val="18"/>
                <w:szCs w:val="18"/>
              </w:rPr>
            </w:pPr>
            <w:r>
              <w:rPr>
                <w:sz w:val="18"/>
                <w:szCs w:val="18"/>
              </w:rPr>
              <w:t>8.</w:t>
            </w:r>
          </w:p>
        </w:tc>
        <w:tc>
          <w:tcPr>
            <w:tcW w:w="1105" w:type="dxa"/>
          </w:tcPr>
          <w:p w:rsidR="002203BC" w:rsidRPr="00E6464D" w:rsidRDefault="002203BC" w:rsidP="00790ECF">
            <w:pPr>
              <w:rPr>
                <w:sz w:val="18"/>
                <w:szCs w:val="18"/>
              </w:rPr>
            </w:pPr>
            <w:r w:rsidRPr="00E6464D">
              <w:rPr>
                <w:sz w:val="18"/>
                <w:szCs w:val="18"/>
              </w:rPr>
              <w:t>Case controlled study</w:t>
            </w:r>
          </w:p>
        </w:tc>
        <w:tc>
          <w:tcPr>
            <w:tcW w:w="2410" w:type="dxa"/>
          </w:tcPr>
          <w:p w:rsidR="002203BC" w:rsidRPr="00E6464D" w:rsidRDefault="002203BC" w:rsidP="00790ECF">
            <w:pPr>
              <w:rPr>
                <w:sz w:val="18"/>
                <w:szCs w:val="18"/>
              </w:rPr>
            </w:pPr>
            <w:r w:rsidRPr="00E6464D">
              <w:rPr>
                <w:sz w:val="18"/>
                <w:szCs w:val="18"/>
              </w:rPr>
              <w:t>Sniderman AD, Islam S, Yusuf S, McQueen MJ. Is the superiority of apoB over non-HDL-C as a marker of cardiovascular risk in the INTERHEART study due to confounding by related variables? J Clin Lipidol 2013; 7: 626-631.</w:t>
            </w:r>
          </w:p>
        </w:tc>
        <w:tc>
          <w:tcPr>
            <w:tcW w:w="2268" w:type="dxa"/>
          </w:tcPr>
          <w:p w:rsidR="002203BC" w:rsidRPr="00115DD0" w:rsidRDefault="002203BC" w:rsidP="00790ECF">
            <w:pPr>
              <w:rPr>
                <w:sz w:val="18"/>
                <w:szCs w:val="18"/>
              </w:rPr>
            </w:pPr>
            <w:r w:rsidRPr="00115DD0">
              <w:rPr>
                <w:sz w:val="18"/>
                <w:szCs w:val="18"/>
              </w:rPr>
              <w:t xml:space="preserve">Results from the </w:t>
            </w:r>
            <w:r w:rsidRPr="00212D35">
              <w:rPr>
                <w:rFonts w:cs="Segoe UI"/>
                <w:sz w:val="18"/>
                <w:szCs w:val="18"/>
              </w:rPr>
              <w:t xml:space="preserve">INTERHEART study demonstrating the superiority of assessing apoB compared with non-HDL-C and the importance of the atherogenic </w:t>
            </w:r>
            <w:r>
              <w:rPr>
                <w:rFonts w:cs="Segoe UI"/>
                <w:sz w:val="18"/>
                <w:szCs w:val="18"/>
              </w:rPr>
              <w:t xml:space="preserve">apoB-containing </w:t>
            </w:r>
            <w:r w:rsidRPr="00212D35">
              <w:rPr>
                <w:rFonts w:cs="Segoe UI"/>
                <w:sz w:val="18"/>
                <w:szCs w:val="18"/>
              </w:rPr>
              <w:t>lipoproteins in cardiovascular risk.</w:t>
            </w:r>
          </w:p>
        </w:tc>
        <w:tc>
          <w:tcPr>
            <w:tcW w:w="1559" w:type="dxa"/>
          </w:tcPr>
          <w:p w:rsidR="002203BC" w:rsidRPr="00E6464D" w:rsidRDefault="00603EE6" w:rsidP="00790ECF">
            <w:pPr>
              <w:rPr>
                <w:sz w:val="18"/>
                <w:szCs w:val="18"/>
              </w:rPr>
            </w:pPr>
            <w:hyperlink r:id="rId19" w:history="1">
              <w:r w:rsidR="00FB691C">
                <w:rPr>
                  <w:rStyle w:val="Hyperlink"/>
                  <w:sz w:val="18"/>
                  <w:szCs w:val="18"/>
                </w:rPr>
                <w:t>Is the superiority of apoB over non–HDL-C as a marker of cardiovascular risk in the INTERHEART study due to confounding by related variables?</w:t>
              </w:r>
            </w:hyperlink>
          </w:p>
        </w:tc>
        <w:tc>
          <w:tcPr>
            <w:tcW w:w="1054" w:type="dxa"/>
          </w:tcPr>
          <w:p w:rsidR="002203BC" w:rsidRPr="00E6464D" w:rsidRDefault="002203BC" w:rsidP="00790ECF">
            <w:pPr>
              <w:rPr>
                <w:sz w:val="18"/>
                <w:szCs w:val="18"/>
              </w:rPr>
            </w:pPr>
            <w:r w:rsidRPr="00E6464D">
              <w:rPr>
                <w:sz w:val="18"/>
                <w:szCs w:val="18"/>
              </w:rPr>
              <w:t>10 Dec 2013</w:t>
            </w:r>
          </w:p>
        </w:tc>
      </w:tr>
      <w:tr w:rsidR="002203BC" w:rsidRPr="00314844" w:rsidTr="00124673">
        <w:tc>
          <w:tcPr>
            <w:tcW w:w="454" w:type="dxa"/>
          </w:tcPr>
          <w:p w:rsidR="002203BC" w:rsidRPr="00E6464D" w:rsidRDefault="002203BC" w:rsidP="00790ECF">
            <w:pPr>
              <w:rPr>
                <w:sz w:val="18"/>
                <w:szCs w:val="18"/>
              </w:rPr>
            </w:pPr>
            <w:r>
              <w:rPr>
                <w:sz w:val="18"/>
                <w:szCs w:val="18"/>
              </w:rPr>
              <w:t>9</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effectiveness study</w:t>
            </w:r>
          </w:p>
        </w:tc>
        <w:tc>
          <w:tcPr>
            <w:tcW w:w="2410" w:type="dxa"/>
          </w:tcPr>
          <w:p w:rsidR="002203BC" w:rsidRPr="00E6464D" w:rsidRDefault="002203BC" w:rsidP="00790ECF">
            <w:pPr>
              <w:rPr>
                <w:sz w:val="18"/>
                <w:szCs w:val="18"/>
              </w:rPr>
            </w:pPr>
            <w:r w:rsidRPr="00E6464D">
              <w:rPr>
                <w:sz w:val="18"/>
                <w:szCs w:val="18"/>
              </w:rPr>
              <w:t>Sniderman AD, Lamarche B, Contois JH, de Graaf J. Discordance analysis and the Gordian Knot of LDL and non-HDL cholesterol versus apoB. Curr Opin Lipidol 2014; 25: 461-467.</w:t>
            </w:r>
          </w:p>
        </w:tc>
        <w:tc>
          <w:tcPr>
            <w:tcW w:w="2268" w:type="dxa"/>
          </w:tcPr>
          <w:p w:rsidR="002203BC" w:rsidRPr="00E6464D" w:rsidRDefault="002203BC" w:rsidP="00790ECF">
            <w:pPr>
              <w:rPr>
                <w:sz w:val="18"/>
                <w:szCs w:val="18"/>
              </w:rPr>
            </w:pPr>
            <w:r w:rsidRPr="00E6464D">
              <w:rPr>
                <w:sz w:val="18"/>
                <w:szCs w:val="18"/>
              </w:rPr>
              <w:t>A study using discordance analysis demonstrating that cardiovascular risk is more closely related to the number of atherogenic particles than to the total mass of cholesterol within them.</w:t>
            </w:r>
          </w:p>
        </w:tc>
        <w:tc>
          <w:tcPr>
            <w:tcW w:w="1559" w:type="dxa"/>
          </w:tcPr>
          <w:p w:rsidR="002203BC" w:rsidRPr="00E6464D" w:rsidRDefault="00603EE6" w:rsidP="00790ECF">
            <w:pPr>
              <w:rPr>
                <w:sz w:val="18"/>
                <w:szCs w:val="18"/>
              </w:rPr>
            </w:pPr>
            <w:hyperlink r:id="rId20" w:history="1">
              <w:r w:rsidR="00E97432">
                <w:rPr>
                  <w:rStyle w:val="Hyperlink"/>
                  <w:sz w:val="18"/>
                  <w:szCs w:val="18"/>
                </w:rPr>
                <w:t>Discordance analysis and the Gordian Knot of LDL and non-HDL cholesterol versus apoB</w:t>
              </w:r>
            </w:hyperlink>
            <w:r w:rsidR="002203BC" w:rsidRPr="00E6464D">
              <w:rPr>
                <w:sz w:val="18"/>
                <w:szCs w:val="18"/>
              </w:rPr>
              <w:t xml:space="preserve"> </w:t>
            </w:r>
          </w:p>
        </w:tc>
        <w:tc>
          <w:tcPr>
            <w:tcW w:w="1054" w:type="dxa"/>
          </w:tcPr>
          <w:p w:rsidR="002203BC" w:rsidRPr="00E6464D" w:rsidRDefault="002203BC" w:rsidP="00790ECF">
            <w:pPr>
              <w:rPr>
                <w:sz w:val="18"/>
                <w:szCs w:val="18"/>
              </w:rPr>
            </w:pPr>
            <w:r w:rsidRPr="00E6464D">
              <w:rPr>
                <w:sz w:val="18"/>
                <w:szCs w:val="18"/>
              </w:rPr>
              <w:t>24 Oct 2014</w:t>
            </w:r>
          </w:p>
        </w:tc>
      </w:tr>
      <w:tr w:rsidR="002203BC" w:rsidTr="00124673">
        <w:tc>
          <w:tcPr>
            <w:tcW w:w="454" w:type="dxa"/>
          </w:tcPr>
          <w:p w:rsidR="002203BC" w:rsidRPr="00E6464D" w:rsidRDefault="002203BC" w:rsidP="00790ECF">
            <w:pPr>
              <w:rPr>
                <w:sz w:val="18"/>
                <w:szCs w:val="18"/>
              </w:rPr>
            </w:pPr>
            <w:r>
              <w:rPr>
                <w:sz w:val="18"/>
                <w:szCs w:val="18"/>
              </w:rPr>
              <w:t>10</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Clinical effectiveness study</w:t>
            </w:r>
          </w:p>
        </w:tc>
        <w:tc>
          <w:tcPr>
            <w:tcW w:w="2410" w:type="dxa"/>
          </w:tcPr>
          <w:p w:rsidR="002203BC" w:rsidRPr="00E6464D" w:rsidRDefault="002203BC" w:rsidP="00790ECF">
            <w:pPr>
              <w:rPr>
                <w:sz w:val="18"/>
                <w:szCs w:val="18"/>
              </w:rPr>
            </w:pPr>
            <w:r w:rsidRPr="00E6464D">
              <w:rPr>
                <w:sz w:val="18"/>
                <w:szCs w:val="18"/>
              </w:rPr>
              <w:t>Sniderman AD, Pencina M, Thanassoulis G. Limitations in the conventional assessment of the incremental value of predictors of cardiovascular risk. Curr Opin Lipidol 2015; 26: 210-214.</w:t>
            </w:r>
          </w:p>
        </w:tc>
        <w:tc>
          <w:tcPr>
            <w:tcW w:w="2268" w:type="dxa"/>
          </w:tcPr>
          <w:p w:rsidR="002203BC" w:rsidRPr="00E6464D" w:rsidRDefault="002203BC" w:rsidP="00790ECF">
            <w:pPr>
              <w:rPr>
                <w:sz w:val="18"/>
                <w:szCs w:val="18"/>
              </w:rPr>
            </w:pPr>
            <w:r w:rsidRPr="00E6464D">
              <w:rPr>
                <w:sz w:val="18"/>
                <w:szCs w:val="18"/>
              </w:rPr>
              <w:t xml:space="preserve">Study demonstrating that for correlated predictors describing different aspects of the same variable such as non-HDL-C and apoB or LDL-C and LDL particle number, discordance analysis offers a simple valid alternative to capture and compare the </w:t>
            </w:r>
            <w:r w:rsidRPr="00E6464D">
              <w:rPr>
                <w:sz w:val="18"/>
                <w:szCs w:val="18"/>
              </w:rPr>
              <w:lastRenderedPageBreak/>
              <w:t xml:space="preserve">independent information contained by each predictor. </w:t>
            </w:r>
          </w:p>
        </w:tc>
        <w:tc>
          <w:tcPr>
            <w:tcW w:w="1559" w:type="dxa"/>
          </w:tcPr>
          <w:p w:rsidR="002203BC" w:rsidRPr="00E6464D" w:rsidRDefault="00603EE6" w:rsidP="00790ECF">
            <w:pPr>
              <w:rPr>
                <w:sz w:val="18"/>
                <w:szCs w:val="18"/>
              </w:rPr>
            </w:pPr>
            <w:hyperlink r:id="rId21" w:history="1">
              <w:r w:rsidR="00E97432">
                <w:rPr>
                  <w:rStyle w:val="Hyperlink"/>
                  <w:sz w:val="18"/>
                  <w:szCs w:val="18"/>
                </w:rPr>
                <w:t>Limitations in the conventional assessment of the incremental value of predictors of cardiovascular risk</w:t>
              </w:r>
            </w:hyperlink>
            <w:r w:rsidR="002203BC" w:rsidRPr="00E6464D">
              <w:rPr>
                <w:sz w:val="18"/>
                <w:szCs w:val="18"/>
              </w:rPr>
              <w:t xml:space="preserve">. </w:t>
            </w:r>
          </w:p>
        </w:tc>
        <w:tc>
          <w:tcPr>
            <w:tcW w:w="1054" w:type="dxa"/>
          </w:tcPr>
          <w:p w:rsidR="002203BC" w:rsidRPr="00E6464D" w:rsidRDefault="002203BC" w:rsidP="00790ECF">
            <w:pPr>
              <w:rPr>
                <w:sz w:val="18"/>
                <w:szCs w:val="18"/>
              </w:rPr>
            </w:pPr>
            <w:r w:rsidRPr="00E6464D">
              <w:rPr>
                <w:sz w:val="18"/>
                <w:szCs w:val="18"/>
              </w:rPr>
              <w:t>19 Apr 2015</w:t>
            </w:r>
          </w:p>
        </w:tc>
      </w:tr>
      <w:tr w:rsidR="002203BC" w:rsidTr="00124673">
        <w:tc>
          <w:tcPr>
            <w:tcW w:w="454" w:type="dxa"/>
          </w:tcPr>
          <w:p w:rsidR="002203BC" w:rsidRPr="00E6464D" w:rsidRDefault="002203BC" w:rsidP="00790ECF">
            <w:pPr>
              <w:rPr>
                <w:sz w:val="18"/>
                <w:szCs w:val="18"/>
              </w:rPr>
            </w:pPr>
            <w:r>
              <w:rPr>
                <w:sz w:val="18"/>
                <w:szCs w:val="18"/>
              </w:rPr>
              <w:lastRenderedPageBreak/>
              <w:t>11</w:t>
            </w:r>
            <w:r w:rsidRPr="00E6464D">
              <w:rPr>
                <w:sz w:val="18"/>
                <w:szCs w:val="18"/>
              </w:rPr>
              <w:t>.</w:t>
            </w:r>
          </w:p>
        </w:tc>
        <w:tc>
          <w:tcPr>
            <w:tcW w:w="1105" w:type="dxa"/>
          </w:tcPr>
          <w:p w:rsidR="002203BC" w:rsidRPr="00E6464D" w:rsidRDefault="002203BC" w:rsidP="00790ECF">
            <w:pPr>
              <w:rPr>
                <w:sz w:val="18"/>
                <w:szCs w:val="18"/>
              </w:rPr>
            </w:pPr>
            <w:r w:rsidRPr="00E6464D">
              <w:rPr>
                <w:sz w:val="18"/>
                <w:szCs w:val="18"/>
              </w:rPr>
              <w:t>Evidence-based analysis</w:t>
            </w:r>
          </w:p>
        </w:tc>
        <w:tc>
          <w:tcPr>
            <w:tcW w:w="2410" w:type="dxa"/>
          </w:tcPr>
          <w:p w:rsidR="002203BC" w:rsidRPr="00E6464D" w:rsidRDefault="002203BC" w:rsidP="00790ECF">
            <w:pPr>
              <w:rPr>
                <w:sz w:val="18"/>
                <w:szCs w:val="18"/>
              </w:rPr>
            </w:pPr>
            <w:r w:rsidRPr="00E6464D">
              <w:rPr>
                <w:sz w:val="18"/>
                <w:szCs w:val="18"/>
              </w:rPr>
              <w:t>Sniderman AD, Toth PP, Thanassoulis G, Furberg CD. An evidence-based analysis of the National Lipid Association recommending non-HDL-C and apoB. J Clin Lipidol 2016; 10: 1248-1258.</w:t>
            </w:r>
          </w:p>
        </w:tc>
        <w:tc>
          <w:tcPr>
            <w:tcW w:w="2268" w:type="dxa"/>
          </w:tcPr>
          <w:p w:rsidR="002203BC" w:rsidRPr="00E6464D" w:rsidRDefault="002203BC" w:rsidP="00790ECF">
            <w:pPr>
              <w:rPr>
                <w:sz w:val="18"/>
                <w:szCs w:val="18"/>
              </w:rPr>
            </w:pPr>
            <w:r w:rsidRPr="0014307B">
              <w:rPr>
                <w:sz w:val="18"/>
                <w:szCs w:val="18"/>
              </w:rPr>
              <w:t xml:space="preserve">An evidence-based analysis of the National Lipid Association recommendations concerning non-HDL-C </w:t>
            </w:r>
            <w:r w:rsidRPr="00880FEF">
              <w:rPr>
                <w:sz w:val="18"/>
                <w:szCs w:val="18"/>
              </w:rPr>
              <w:t xml:space="preserve">and apoB </w:t>
            </w:r>
            <w:r w:rsidRPr="00212D35">
              <w:rPr>
                <w:rFonts w:cs="Segoe UI"/>
                <w:sz w:val="18"/>
                <w:szCs w:val="18"/>
              </w:rPr>
              <w:t>indicating that apoB is a more accurate marker of cardiovascular risk than non-HDL-C and lipid mana</w:t>
            </w:r>
            <w:r>
              <w:rPr>
                <w:rFonts w:cs="Segoe UI"/>
                <w:sz w:val="18"/>
                <w:szCs w:val="18"/>
              </w:rPr>
              <w:t>g</w:t>
            </w:r>
            <w:r w:rsidRPr="0014307B">
              <w:rPr>
                <w:rFonts w:cs="Segoe UI"/>
                <w:sz w:val="18"/>
                <w:szCs w:val="18"/>
              </w:rPr>
              <w:t>e</w:t>
            </w:r>
            <w:r w:rsidRPr="00212D35">
              <w:rPr>
                <w:rFonts w:cs="Segoe UI"/>
                <w:sz w:val="18"/>
                <w:szCs w:val="18"/>
              </w:rPr>
              <w:t>ment would be improved by inclusion of apoB along with lipoprotein lipids in routine clinical care.</w:t>
            </w:r>
          </w:p>
        </w:tc>
        <w:tc>
          <w:tcPr>
            <w:tcW w:w="1559" w:type="dxa"/>
          </w:tcPr>
          <w:p w:rsidR="002203BC" w:rsidRPr="00E6464D" w:rsidRDefault="00603EE6" w:rsidP="00790ECF">
            <w:pPr>
              <w:rPr>
                <w:sz w:val="18"/>
                <w:szCs w:val="18"/>
              </w:rPr>
            </w:pPr>
            <w:hyperlink r:id="rId22" w:history="1">
              <w:r w:rsidR="00E97432">
                <w:rPr>
                  <w:rStyle w:val="Hyperlink"/>
                  <w:sz w:val="18"/>
                  <w:szCs w:val="18"/>
                </w:rPr>
                <w:t>An evidence-based analysis of the National Lipid Association recommendations concerning non-HDL-C and apoB</w:t>
              </w:r>
            </w:hyperlink>
            <w:r w:rsidR="002203BC" w:rsidRPr="00E6464D">
              <w:rPr>
                <w:sz w:val="18"/>
                <w:szCs w:val="18"/>
              </w:rPr>
              <w:t xml:space="preserve">. </w:t>
            </w:r>
          </w:p>
        </w:tc>
        <w:tc>
          <w:tcPr>
            <w:tcW w:w="1054" w:type="dxa"/>
          </w:tcPr>
          <w:p w:rsidR="002203BC" w:rsidRPr="00E6464D" w:rsidRDefault="002203BC" w:rsidP="00790ECF">
            <w:pPr>
              <w:rPr>
                <w:b/>
                <w:sz w:val="18"/>
                <w:szCs w:val="18"/>
              </w:rPr>
            </w:pPr>
            <w:r w:rsidRPr="00360375">
              <w:rPr>
                <w:sz w:val="18"/>
                <w:szCs w:val="18"/>
              </w:rPr>
              <w:t>30 Sep 2016</w:t>
            </w:r>
          </w:p>
        </w:tc>
      </w:tr>
      <w:tr w:rsidR="002203BC" w:rsidTr="00124673">
        <w:tc>
          <w:tcPr>
            <w:tcW w:w="454" w:type="dxa"/>
          </w:tcPr>
          <w:p w:rsidR="002203BC" w:rsidRPr="00360375" w:rsidRDefault="002203BC" w:rsidP="00790ECF">
            <w:pPr>
              <w:rPr>
                <w:sz w:val="18"/>
                <w:szCs w:val="18"/>
              </w:rPr>
            </w:pPr>
            <w:r w:rsidRPr="00360375">
              <w:rPr>
                <w:sz w:val="18"/>
                <w:szCs w:val="18"/>
              </w:rPr>
              <w:t>1</w:t>
            </w:r>
            <w:r>
              <w:rPr>
                <w:sz w:val="18"/>
                <w:szCs w:val="18"/>
              </w:rPr>
              <w:t>2</w:t>
            </w:r>
            <w:r w:rsidRPr="00360375">
              <w:rPr>
                <w:sz w:val="18"/>
                <w:szCs w:val="18"/>
              </w:rPr>
              <w:t>.</w:t>
            </w:r>
          </w:p>
        </w:tc>
        <w:tc>
          <w:tcPr>
            <w:tcW w:w="1105" w:type="dxa"/>
          </w:tcPr>
          <w:p w:rsidR="002203BC" w:rsidRPr="00360375" w:rsidRDefault="002203BC" w:rsidP="00790ECF">
            <w:pPr>
              <w:rPr>
                <w:sz w:val="18"/>
                <w:szCs w:val="18"/>
              </w:rPr>
            </w:pPr>
            <w:r w:rsidRPr="00360375">
              <w:rPr>
                <w:sz w:val="18"/>
                <w:szCs w:val="18"/>
              </w:rPr>
              <w:t>Meta-analysis</w:t>
            </w:r>
          </w:p>
        </w:tc>
        <w:tc>
          <w:tcPr>
            <w:tcW w:w="2410" w:type="dxa"/>
          </w:tcPr>
          <w:p w:rsidR="002203BC" w:rsidRPr="00360375" w:rsidRDefault="002203BC" w:rsidP="00790ECF">
            <w:pPr>
              <w:rPr>
                <w:sz w:val="18"/>
                <w:szCs w:val="18"/>
              </w:rPr>
            </w:pPr>
            <w:r w:rsidRPr="00360375">
              <w:rPr>
                <w:sz w:val="18"/>
                <w:szCs w:val="18"/>
              </w:rPr>
              <w:t>Thanassoulis G, Williams K, Ye K, et al. Relations of change in plasma levels of LDL-C, non-HDL-C and apoB with risk reduction from statin therapy: a meta-analysis of randomized trials. J Am Heart Assoc 2014; 3: e000759 doi: 10.1161/JAHA. 113.000759.</w:t>
            </w:r>
          </w:p>
        </w:tc>
        <w:tc>
          <w:tcPr>
            <w:tcW w:w="2268" w:type="dxa"/>
          </w:tcPr>
          <w:p w:rsidR="002203BC" w:rsidRPr="00360375" w:rsidRDefault="002203BC" w:rsidP="00790ECF">
            <w:pPr>
              <w:rPr>
                <w:sz w:val="18"/>
                <w:szCs w:val="18"/>
              </w:rPr>
            </w:pPr>
            <w:r w:rsidRPr="00360375">
              <w:rPr>
                <w:sz w:val="18"/>
                <w:szCs w:val="18"/>
              </w:rPr>
              <w:t>Meta-analysis using both a frequentist and Bayesian approach, demonstrated relative risk reduction across seven major placebo-controlled statin trials was more closely related to reductions in apoB than to reductions in either non-HDL-C or LDL-C.</w:t>
            </w:r>
          </w:p>
        </w:tc>
        <w:tc>
          <w:tcPr>
            <w:tcW w:w="1559" w:type="dxa"/>
          </w:tcPr>
          <w:p w:rsidR="002203BC" w:rsidRPr="00360375" w:rsidRDefault="00603EE6" w:rsidP="00790ECF">
            <w:pPr>
              <w:rPr>
                <w:sz w:val="18"/>
                <w:szCs w:val="18"/>
              </w:rPr>
            </w:pPr>
            <w:hyperlink r:id="rId23" w:history="1">
              <w:r w:rsidR="00E97432">
                <w:rPr>
                  <w:rStyle w:val="Hyperlink"/>
                  <w:sz w:val="18"/>
                  <w:szCs w:val="18"/>
                </w:rPr>
                <w:t>Relations of Change in Plasma Levels of LDL‐C, Non‐HDL‐C and apoB With Risk Reduction From Statin Therapy: A Meta‐Analysis of Randomized Trials</w:t>
              </w:r>
            </w:hyperlink>
            <w:r w:rsidR="002203BC" w:rsidRPr="00360375">
              <w:rPr>
                <w:sz w:val="18"/>
                <w:szCs w:val="18"/>
              </w:rPr>
              <w:t xml:space="preserve">. </w:t>
            </w:r>
          </w:p>
        </w:tc>
        <w:tc>
          <w:tcPr>
            <w:tcW w:w="1054" w:type="dxa"/>
          </w:tcPr>
          <w:p w:rsidR="002203BC" w:rsidRPr="00360375" w:rsidRDefault="002203BC" w:rsidP="00790ECF">
            <w:pPr>
              <w:rPr>
                <w:sz w:val="18"/>
                <w:szCs w:val="18"/>
              </w:rPr>
            </w:pPr>
            <w:r w:rsidRPr="00360375">
              <w:rPr>
                <w:sz w:val="18"/>
                <w:szCs w:val="18"/>
              </w:rPr>
              <w:t>16 Apr 2014</w:t>
            </w:r>
          </w:p>
        </w:tc>
      </w:tr>
      <w:tr w:rsidR="002203BC" w:rsidTr="00124673">
        <w:tc>
          <w:tcPr>
            <w:tcW w:w="454" w:type="dxa"/>
          </w:tcPr>
          <w:p w:rsidR="002203BC" w:rsidRPr="00360375" w:rsidRDefault="002203BC" w:rsidP="00790ECF">
            <w:pPr>
              <w:rPr>
                <w:sz w:val="18"/>
                <w:szCs w:val="18"/>
              </w:rPr>
            </w:pPr>
            <w:r w:rsidRPr="00360375">
              <w:rPr>
                <w:sz w:val="18"/>
                <w:szCs w:val="18"/>
              </w:rPr>
              <w:t>1</w:t>
            </w:r>
            <w:r>
              <w:rPr>
                <w:sz w:val="18"/>
                <w:szCs w:val="18"/>
              </w:rPr>
              <w:t>3</w:t>
            </w:r>
            <w:r w:rsidRPr="00360375">
              <w:rPr>
                <w:sz w:val="18"/>
                <w:szCs w:val="18"/>
              </w:rPr>
              <w:t>.</w:t>
            </w:r>
          </w:p>
        </w:tc>
        <w:tc>
          <w:tcPr>
            <w:tcW w:w="1105" w:type="dxa"/>
          </w:tcPr>
          <w:p w:rsidR="002203BC" w:rsidRPr="00360375" w:rsidRDefault="002203BC" w:rsidP="00790ECF">
            <w:pPr>
              <w:rPr>
                <w:sz w:val="18"/>
                <w:szCs w:val="18"/>
              </w:rPr>
            </w:pPr>
            <w:r w:rsidRPr="00360375">
              <w:rPr>
                <w:sz w:val="18"/>
                <w:szCs w:val="18"/>
              </w:rPr>
              <w:t>Clinical effectiveness study</w:t>
            </w:r>
          </w:p>
        </w:tc>
        <w:tc>
          <w:tcPr>
            <w:tcW w:w="2410" w:type="dxa"/>
          </w:tcPr>
          <w:p w:rsidR="002203BC" w:rsidRPr="00360375" w:rsidRDefault="002203BC" w:rsidP="00790ECF">
            <w:pPr>
              <w:rPr>
                <w:sz w:val="18"/>
                <w:szCs w:val="18"/>
              </w:rPr>
            </w:pPr>
            <w:r w:rsidRPr="00360375">
              <w:rPr>
                <w:sz w:val="18"/>
                <w:szCs w:val="18"/>
              </w:rPr>
              <w:t>Sniderman AD, Islam S, McQueen M, et al. Age and cardiovascular risk attributable to apolipoprotein B, low-density lipoprotein cholesterol or non-high-density lipoprotein cholesterol. J Am Heart Assoc 2016; 5: e003665 doi: 10.1161/JAHA.116.003665.</w:t>
            </w:r>
          </w:p>
        </w:tc>
        <w:tc>
          <w:tcPr>
            <w:tcW w:w="2268" w:type="dxa"/>
          </w:tcPr>
          <w:p w:rsidR="002203BC" w:rsidRPr="00115DD0" w:rsidRDefault="002203BC" w:rsidP="00790ECF">
            <w:pPr>
              <w:autoSpaceDE w:val="0"/>
              <w:autoSpaceDN w:val="0"/>
              <w:adjustRightInd w:val="0"/>
              <w:rPr>
                <w:sz w:val="18"/>
                <w:szCs w:val="18"/>
              </w:rPr>
            </w:pPr>
            <w:r w:rsidRPr="00115DD0">
              <w:rPr>
                <w:sz w:val="18"/>
                <w:szCs w:val="18"/>
              </w:rPr>
              <w:t xml:space="preserve">Results from the </w:t>
            </w:r>
            <w:r w:rsidRPr="00212D35">
              <w:rPr>
                <w:rFonts w:cs="Segoe UI"/>
                <w:sz w:val="18"/>
                <w:szCs w:val="18"/>
              </w:rPr>
              <w:t>INTERHEART Study (t different ages in 11,760 controls and 8</w:t>
            </w:r>
            <w:r>
              <w:rPr>
                <w:rFonts w:cs="Segoe UI"/>
                <w:sz w:val="18"/>
                <w:szCs w:val="18"/>
              </w:rPr>
              <w:t>,</w:t>
            </w:r>
            <w:r w:rsidRPr="00212D35">
              <w:rPr>
                <w:rFonts w:cs="Segoe UI"/>
                <w:sz w:val="18"/>
                <w:szCs w:val="18"/>
              </w:rPr>
              <w:t>998 myocardial infarction cases) demonstrating that the risk of cardiovascular events associated with apoB particles is greater in younger compared to older individuals; consistent with greater relative benefit from LDL-lowering therapy in younger compared to older individuals and supports use of therapy in younger individuals with elevated lipids.</w:t>
            </w:r>
          </w:p>
        </w:tc>
        <w:tc>
          <w:tcPr>
            <w:tcW w:w="1559" w:type="dxa"/>
          </w:tcPr>
          <w:p w:rsidR="002203BC" w:rsidRPr="00360375" w:rsidRDefault="00603EE6" w:rsidP="00790ECF">
            <w:pPr>
              <w:rPr>
                <w:sz w:val="18"/>
                <w:szCs w:val="18"/>
              </w:rPr>
            </w:pPr>
            <w:hyperlink r:id="rId24" w:history="1">
              <w:r w:rsidR="00E97432">
                <w:rPr>
                  <w:rStyle w:val="Hyperlink"/>
                  <w:sz w:val="18"/>
                  <w:szCs w:val="18"/>
                </w:rPr>
                <w:t>Age and Cardiovascular Risk Attributable to Apolipoprotein B, Low‐Density Lipoprotein Cholesterol or Non‐High‐Density Lipoprotein Cholesterol</w:t>
              </w:r>
            </w:hyperlink>
            <w:r w:rsidR="002203BC" w:rsidRPr="00360375">
              <w:rPr>
                <w:sz w:val="18"/>
                <w:szCs w:val="18"/>
              </w:rPr>
              <w:t xml:space="preserve"> </w:t>
            </w:r>
          </w:p>
        </w:tc>
        <w:tc>
          <w:tcPr>
            <w:tcW w:w="1054" w:type="dxa"/>
          </w:tcPr>
          <w:p w:rsidR="002203BC" w:rsidRPr="00360375" w:rsidRDefault="002203BC" w:rsidP="00790ECF">
            <w:pPr>
              <w:rPr>
                <w:b/>
                <w:sz w:val="18"/>
                <w:szCs w:val="18"/>
              </w:rPr>
            </w:pPr>
            <w:r w:rsidRPr="00360375">
              <w:rPr>
                <w:sz w:val="18"/>
                <w:szCs w:val="18"/>
              </w:rPr>
              <w:t>16 Oct 2016</w:t>
            </w:r>
          </w:p>
        </w:tc>
      </w:tr>
      <w:tr w:rsidR="002203BC" w:rsidTr="00124673">
        <w:tc>
          <w:tcPr>
            <w:tcW w:w="454" w:type="dxa"/>
          </w:tcPr>
          <w:p w:rsidR="002203BC" w:rsidRPr="00360375" w:rsidRDefault="002203BC" w:rsidP="00790ECF">
            <w:pPr>
              <w:rPr>
                <w:sz w:val="18"/>
                <w:szCs w:val="18"/>
              </w:rPr>
            </w:pPr>
            <w:r w:rsidRPr="00360375">
              <w:rPr>
                <w:sz w:val="18"/>
                <w:szCs w:val="18"/>
              </w:rPr>
              <w:t>1</w:t>
            </w:r>
            <w:r>
              <w:rPr>
                <w:sz w:val="18"/>
                <w:szCs w:val="18"/>
              </w:rPr>
              <w:t>4</w:t>
            </w:r>
            <w:r w:rsidRPr="00360375">
              <w:rPr>
                <w:sz w:val="18"/>
                <w:szCs w:val="18"/>
              </w:rPr>
              <w:t>.</w:t>
            </w:r>
          </w:p>
        </w:tc>
        <w:tc>
          <w:tcPr>
            <w:tcW w:w="1105" w:type="dxa"/>
          </w:tcPr>
          <w:p w:rsidR="002203BC" w:rsidRPr="00360375" w:rsidRDefault="002203BC" w:rsidP="00790ECF">
            <w:pPr>
              <w:rPr>
                <w:sz w:val="18"/>
                <w:szCs w:val="18"/>
              </w:rPr>
            </w:pPr>
            <w:r w:rsidRPr="00360375">
              <w:rPr>
                <w:sz w:val="18"/>
                <w:szCs w:val="18"/>
              </w:rPr>
              <w:t>Clinical effectiveness study</w:t>
            </w:r>
          </w:p>
        </w:tc>
        <w:tc>
          <w:tcPr>
            <w:tcW w:w="2410" w:type="dxa"/>
          </w:tcPr>
          <w:p w:rsidR="002203BC" w:rsidRPr="00360375" w:rsidRDefault="002203BC" w:rsidP="00790ECF">
            <w:pPr>
              <w:rPr>
                <w:sz w:val="18"/>
                <w:szCs w:val="18"/>
              </w:rPr>
            </w:pPr>
            <w:r w:rsidRPr="00360375">
              <w:rPr>
                <w:sz w:val="18"/>
                <w:szCs w:val="18"/>
              </w:rPr>
              <w:t>Wilkins JT, Li RC, Sniderman A, et al. Discordance between apolipoprotein B and LDL-cholesterol in young adults predicts coronary artery calcification. J Am Coll Cardiol 2016; 67: 193-201.</w:t>
            </w:r>
          </w:p>
        </w:tc>
        <w:tc>
          <w:tcPr>
            <w:tcW w:w="2268" w:type="dxa"/>
          </w:tcPr>
          <w:p w:rsidR="002203BC" w:rsidRPr="00115DD0" w:rsidRDefault="002203BC" w:rsidP="00790ECF">
            <w:pPr>
              <w:autoSpaceDE w:val="0"/>
              <w:autoSpaceDN w:val="0"/>
              <w:adjustRightInd w:val="0"/>
              <w:rPr>
                <w:sz w:val="18"/>
                <w:szCs w:val="18"/>
              </w:rPr>
            </w:pPr>
            <w:r w:rsidRPr="00115DD0">
              <w:rPr>
                <w:sz w:val="18"/>
                <w:szCs w:val="18"/>
              </w:rPr>
              <w:t>Results from t</w:t>
            </w:r>
            <w:r w:rsidRPr="00212D35">
              <w:rPr>
                <w:rFonts w:cs="Segoe UI"/>
                <w:sz w:val="18"/>
                <w:szCs w:val="18"/>
              </w:rPr>
              <w:t xml:space="preserve">he CARDIA Study of 2,794 participants (mean age: 25 +/- 3.6 years); with complete baseline cardiovascular disease (CVD) risk factor data, including apoB and year 25 (Y25) coronary artery calcium (CAC) score. Compared with the lowest apoB tertile, higher odds of developing Y25 CAC were seen in the middle and high tertiles. High apoB and low </w:t>
            </w:r>
            <w:r w:rsidRPr="00212D35">
              <w:rPr>
                <w:rFonts w:cs="Segoe UI"/>
                <w:sz w:val="18"/>
                <w:szCs w:val="18"/>
              </w:rPr>
              <w:lastRenderedPageBreak/>
              <w:t>LDL-C or non-HDL-C discordance was associated with Y25 CAC in adjusted models demonstrating a dose-response association between apoB in young adults and the presence of midlife CAC independent of baseline traditional CVD risk factors.</w:t>
            </w:r>
          </w:p>
        </w:tc>
        <w:tc>
          <w:tcPr>
            <w:tcW w:w="1559" w:type="dxa"/>
          </w:tcPr>
          <w:p w:rsidR="002203BC" w:rsidRPr="00360375" w:rsidRDefault="00603EE6" w:rsidP="00790ECF">
            <w:pPr>
              <w:rPr>
                <w:sz w:val="18"/>
                <w:szCs w:val="18"/>
              </w:rPr>
            </w:pPr>
            <w:hyperlink r:id="rId25" w:history="1">
              <w:r w:rsidR="00E97432">
                <w:rPr>
                  <w:rStyle w:val="Hyperlink"/>
                  <w:sz w:val="18"/>
                  <w:szCs w:val="18"/>
                </w:rPr>
                <w:t>Discordance Between Apolipoprotein B and LDL-Cholesterol in Young Adults Predicts Coronary Artery Calcification: The CARDIA Study</w:t>
              </w:r>
            </w:hyperlink>
            <w:r w:rsidR="002203BC" w:rsidRPr="00360375">
              <w:rPr>
                <w:sz w:val="18"/>
                <w:szCs w:val="18"/>
              </w:rPr>
              <w:t xml:space="preserve">. </w:t>
            </w:r>
          </w:p>
        </w:tc>
        <w:tc>
          <w:tcPr>
            <w:tcW w:w="1054" w:type="dxa"/>
          </w:tcPr>
          <w:p w:rsidR="002203BC" w:rsidRPr="00360375" w:rsidRDefault="002203BC" w:rsidP="00790ECF">
            <w:pPr>
              <w:rPr>
                <w:b/>
                <w:sz w:val="18"/>
                <w:szCs w:val="18"/>
              </w:rPr>
            </w:pPr>
          </w:p>
        </w:tc>
      </w:tr>
      <w:tr w:rsidR="002203BC" w:rsidRPr="00314844" w:rsidTr="00124673">
        <w:tc>
          <w:tcPr>
            <w:tcW w:w="454" w:type="dxa"/>
          </w:tcPr>
          <w:p w:rsidR="002203BC" w:rsidRPr="00360375" w:rsidRDefault="002203BC" w:rsidP="00790ECF">
            <w:pPr>
              <w:rPr>
                <w:sz w:val="18"/>
                <w:szCs w:val="18"/>
              </w:rPr>
            </w:pPr>
            <w:r w:rsidRPr="00360375">
              <w:rPr>
                <w:sz w:val="18"/>
                <w:szCs w:val="18"/>
              </w:rPr>
              <w:lastRenderedPageBreak/>
              <w:t>1</w:t>
            </w:r>
            <w:r>
              <w:rPr>
                <w:sz w:val="18"/>
                <w:szCs w:val="18"/>
              </w:rPr>
              <w:t>5</w:t>
            </w:r>
            <w:r w:rsidRPr="00360375">
              <w:rPr>
                <w:sz w:val="18"/>
                <w:szCs w:val="18"/>
              </w:rPr>
              <w:t>.</w:t>
            </w:r>
          </w:p>
        </w:tc>
        <w:tc>
          <w:tcPr>
            <w:tcW w:w="1105" w:type="dxa"/>
          </w:tcPr>
          <w:p w:rsidR="002203BC" w:rsidRPr="00360375" w:rsidRDefault="002203BC" w:rsidP="00790ECF">
            <w:pPr>
              <w:rPr>
                <w:sz w:val="18"/>
                <w:szCs w:val="18"/>
              </w:rPr>
            </w:pPr>
            <w:r w:rsidRPr="00360375">
              <w:rPr>
                <w:sz w:val="18"/>
                <w:szCs w:val="18"/>
              </w:rPr>
              <w:t>Meta-analysis</w:t>
            </w:r>
          </w:p>
        </w:tc>
        <w:tc>
          <w:tcPr>
            <w:tcW w:w="2410" w:type="dxa"/>
          </w:tcPr>
          <w:p w:rsidR="002203BC" w:rsidRPr="00360375" w:rsidRDefault="002203BC" w:rsidP="00790ECF">
            <w:pPr>
              <w:rPr>
                <w:sz w:val="18"/>
                <w:szCs w:val="18"/>
              </w:rPr>
            </w:pPr>
            <w:r w:rsidRPr="00360375">
              <w:rPr>
                <w:sz w:val="18"/>
                <w:szCs w:val="18"/>
              </w:rPr>
              <w:t>Sniderman AD, Williams K, Contois JH, et al. A meta-analysis of low-density lipoprotein cholesterol, non-high-density lipoprotein cholesterol, and apolipoprotein B as markers of cardiovascular risk. Circ Cardiovasc Qual Outcomes 2011; 4: 337-345</w:t>
            </w:r>
          </w:p>
        </w:tc>
        <w:tc>
          <w:tcPr>
            <w:tcW w:w="2268" w:type="dxa"/>
          </w:tcPr>
          <w:p w:rsidR="002203BC" w:rsidRPr="00115DD0" w:rsidRDefault="002203BC" w:rsidP="00790ECF">
            <w:pPr>
              <w:spacing w:after="200"/>
              <w:rPr>
                <w:sz w:val="18"/>
                <w:szCs w:val="18"/>
              </w:rPr>
            </w:pPr>
            <w:r w:rsidRPr="00115DD0">
              <w:rPr>
                <w:sz w:val="18"/>
                <w:szCs w:val="18"/>
              </w:rPr>
              <w:t>This conventional meta-analysis demonstrate</w:t>
            </w:r>
            <w:r w:rsidRPr="00880FEF">
              <w:rPr>
                <w:sz w:val="18"/>
                <w:szCs w:val="18"/>
              </w:rPr>
              <w:t>s a hierarchy of risk among the markers with apoB &gt;</w:t>
            </w:r>
            <w:r w:rsidRPr="00115DD0">
              <w:rPr>
                <w:sz w:val="18"/>
                <w:szCs w:val="18"/>
              </w:rPr>
              <w:t xml:space="preserve"> non-HDL-C &gt; LDL-C. Accordingly, it supports much previous work that indicated apoB and non-HDL-C were superior to LDL-C.</w:t>
            </w:r>
          </w:p>
        </w:tc>
        <w:tc>
          <w:tcPr>
            <w:tcW w:w="1559" w:type="dxa"/>
          </w:tcPr>
          <w:p w:rsidR="002203BC" w:rsidRPr="00360375" w:rsidRDefault="00603EE6" w:rsidP="00790ECF">
            <w:pPr>
              <w:rPr>
                <w:sz w:val="18"/>
                <w:szCs w:val="18"/>
              </w:rPr>
            </w:pPr>
            <w:hyperlink r:id="rId26" w:history="1">
              <w:r w:rsidR="00E97432">
                <w:rPr>
                  <w:rStyle w:val="Hyperlink"/>
                  <w:sz w:val="18"/>
                  <w:szCs w:val="18"/>
                </w:rPr>
                <w:t>A Meta-Analysis of Low-Density Lipoprotein Cholesterol, Non-High-Density Lipoprotein Cholesterol, and Apolipoprotein B as Markers of Cardiovascular Risk</w:t>
              </w:r>
            </w:hyperlink>
            <w:r w:rsidR="002203BC" w:rsidRPr="00360375">
              <w:rPr>
                <w:sz w:val="18"/>
                <w:szCs w:val="18"/>
              </w:rPr>
              <w:t xml:space="preserve"> </w:t>
            </w:r>
          </w:p>
        </w:tc>
        <w:tc>
          <w:tcPr>
            <w:tcW w:w="1054" w:type="dxa"/>
          </w:tcPr>
          <w:p w:rsidR="002203BC" w:rsidRPr="00360375" w:rsidRDefault="002203BC" w:rsidP="00790ECF">
            <w:pPr>
              <w:rPr>
                <w:sz w:val="18"/>
                <w:szCs w:val="18"/>
              </w:rPr>
            </w:pPr>
            <w:r w:rsidRPr="00360375">
              <w:rPr>
                <w:sz w:val="18"/>
                <w:szCs w:val="18"/>
              </w:rPr>
              <w:t>14 Apr 2011</w:t>
            </w:r>
          </w:p>
        </w:tc>
      </w:tr>
      <w:tr w:rsidR="002203BC" w:rsidRPr="00314844" w:rsidTr="00124673">
        <w:tc>
          <w:tcPr>
            <w:tcW w:w="454" w:type="dxa"/>
          </w:tcPr>
          <w:p w:rsidR="002203BC" w:rsidRPr="00360375" w:rsidRDefault="002203BC" w:rsidP="00790ECF">
            <w:pPr>
              <w:rPr>
                <w:sz w:val="18"/>
                <w:szCs w:val="18"/>
              </w:rPr>
            </w:pPr>
            <w:r>
              <w:rPr>
                <w:sz w:val="18"/>
                <w:szCs w:val="18"/>
              </w:rPr>
              <w:t>16.</w:t>
            </w:r>
          </w:p>
        </w:tc>
        <w:tc>
          <w:tcPr>
            <w:tcW w:w="1105" w:type="dxa"/>
          </w:tcPr>
          <w:p w:rsidR="002203BC" w:rsidRPr="00360375" w:rsidRDefault="002203BC" w:rsidP="00790ECF">
            <w:pPr>
              <w:rPr>
                <w:sz w:val="18"/>
                <w:szCs w:val="18"/>
              </w:rPr>
            </w:pPr>
            <w:r>
              <w:rPr>
                <w:sz w:val="18"/>
                <w:szCs w:val="18"/>
              </w:rPr>
              <w:t>Case-controlled study</w:t>
            </w:r>
          </w:p>
        </w:tc>
        <w:tc>
          <w:tcPr>
            <w:tcW w:w="2410" w:type="dxa"/>
          </w:tcPr>
          <w:p w:rsidR="002203BC" w:rsidRPr="00360375" w:rsidRDefault="002203BC" w:rsidP="00790ECF">
            <w:pPr>
              <w:rPr>
                <w:sz w:val="18"/>
                <w:szCs w:val="18"/>
              </w:rPr>
            </w:pPr>
            <w:r w:rsidRPr="003E13AD">
              <w:rPr>
                <w:sz w:val="18"/>
                <w:szCs w:val="18"/>
              </w:rPr>
              <w:t>Sniderman AD, Hogue J-C, Bergeron J, et al. Non-HDL cholesterol and apoB in dyslipidaemia</w:t>
            </w:r>
            <w:r>
              <w:rPr>
                <w:sz w:val="18"/>
                <w:szCs w:val="18"/>
              </w:rPr>
              <w:t xml:space="preserve">. </w:t>
            </w:r>
            <w:r w:rsidRPr="003E13AD">
              <w:rPr>
                <w:sz w:val="18"/>
                <w:szCs w:val="18"/>
              </w:rPr>
              <w:t>Clin Sci 200</w:t>
            </w:r>
            <w:r>
              <w:rPr>
                <w:sz w:val="18"/>
                <w:szCs w:val="18"/>
              </w:rPr>
              <w:t>8</w:t>
            </w:r>
            <w:r w:rsidRPr="003E13AD">
              <w:rPr>
                <w:sz w:val="18"/>
                <w:szCs w:val="18"/>
              </w:rPr>
              <w:t>;</w:t>
            </w:r>
            <w:r>
              <w:rPr>
                <w:sz w:val="18"/>
                <w:szCs w:val="18"/>
              </w:rPr>
              <w:t xml:space="preserve"> </w:t>
            </w:r>
            <w:r w:rsidRPr="003E13AD">
              <w:rPr>
                <w:sz w:val="18"/>
                <w:szCs w:val="18"/>
              </w:rPr>
              <w:t>114:</w:t>
            </w:r>
            <w:r>
              <w:rPr>
                <w:sz w:val="18"/>
                <w:szCs w:val="18"/>
              </w:rPr>
              <w:t xml:space="preserve"> </w:t>
            </w:r>
            <w:r w:rsidRPr="003E13AD">
              <w:rPr>
                <w:sz w:val="18"/>
                <w:szCs w:val="18"/>
              </w:rPr>
              <w:t>149</w:t>
            </w:r>
            <w:r>
              <w:rPr>
                <w:sz w:val="18"/>
                <w:szCs w:val="18"/>
              </w:rPr>
              <w:t>-155</w:t>
            </w:r>
            <w:r w:rsidRPr="003E13AD">
              <w:rPr>
                <w:sz w:val="18"/>
                <w:szCs w:val="18"/>
              </w:rPr>
              <w:t>.</w:t>
            </w:r>
          </w:p>
        </w:tc>
        <w:tc>
          <w:tcPr>
            <w:tcW w:w="2268" w:type="dxa"/>
          </w:tcPr>
          <w:p w:rsidR="002203BC" w:rsidRPr="00115DD0" w:rsidRDefault="002203BC" w:rsidP="00790ECF">
            <w:pPr>
              <w:rPr>
                <w:sz w:val="18"/>
                <w:szCs w:val="18"/>
              </w:rPr>
            </w:pPr>
            <w:r>
              <w:rPr>
                <w:sz w:val="18"/>
                <w:szCs w:val="18"/>
              </w:rPr>
              <w:t>A study of 1771 patients in a lipid clinic examining variance of non-HDL-C in comparison with apoB. The results indicated that there is substantial variance of apoB for given values of non-HDL-C in many dyslipidaemic patients.</w:t>
            </w:r>
          </w:p>
        </w:tc>
        <w:tc>
          <w:tcPr>
            <w:tcW w:w="1559" w:type="dxa"/>
          </w:tcPr>
          <w:p w:rsidR="002203BC" w:rsidRDefault="00603EE6" w:rsidP="00790ECF">
            <w:hyperlink r:id="rId27" w:history="1">
              <w:r w:rsidR="00E97432">
                <w:rPr>
                  <w:rStyle w:val="Hyperlink"/>
                  <w:sz w:val="18"/>
                  <w:szCs w:val="18"/>
                </w:rPr>
                <w:t>Non-HDL cholesterol and apoB in dyslipidaemia</w:t>
              </w:r>
            </w:hyperlink>
            <w:r w:rsidR="002203BC">
              <w:rPr>
                <w:sz w:val="18"/>
                <w:szCs w:val="18"/>
              </w:rPr>
              <w:t xml:space="preserve"> </w:t>
            </w:r>
          </w:p>
        </w:tc>
        <w:tc>
          <w:tcPr>
            <w:tcW w:w="1054" w:type="dxa"/>
          </w:tcPr>
          <w:p w:rsidR="002203BC" w:rsidRPr="00360375" w:rsidRDefault="002203BC" w:rsidP="00790ECF">
            <w:pPr>
              <w:rPr>
                <w:sz w:val="18"/>
                <w:szCs w:val="18"/>
              </w:rPr>
            </w:pPr>
            <w:r>
              <w:rPr>
                <w:sz w:val="18"/>
                <w:szCs w:val="18"/>
              </w:rPr>
              <w:t>2008</w:t>
            </w:r>
          </w:p>
        </w:tc>
      </w:tr>
    </w:tbl>
    <w:p w:rsidR="002203BC" w:rsidRDefault="002203BC" w:rsidP="002203BC"/>
    <w:p w:rsidR="00DD308E" w:rsidRDefault="00DD308E">
      <w:pPr>
        <w:rPr>
          <w:b/>
          <w:sz w:val="32"/>
          <w:szCs w:val="32"/>
        </w:rPr>
        <w:sectPr w:rsidR="00DD308E" w:rsidSect="00124673">
          <w:pgSz w:w="11906" w:h="16838"/>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W w:w="5000" w:type="pct"/>
        <w:tblLook w:val="04A0" w:firstRow="1" w:lastRow="0" w:firstColumn="1" w:lastColumn="0" w:noHBand="0" w:noVBand="1"/>
        <w:tblCaption w:val="Summary of Evidence - Yet to be Published"/>
      </w:tblPr>
      <w:tblGrid>
        <w:gridCol w:w="563"/>
        <w:gridCol w:w="1614"/>
        <w:gridCol w:w="2039"/>
        <w:gridCol w:w="1594"/>
        <w:gridCol w:w="2264"/>
        <w:gridCol w:w="1168"/>
      </w:tblGrid>
      <w:tr w:rsidR="004C49EF" w:rsidTr="004C49EF">
        <w:trPr>
          <w:cantSplit/>
          <w:tblHeader/>
        </w:trPr>
        <w:tc>
          <w:tcPr>
            <w:tcW w:w="326" w:type="pct"/>
          </w:tcPr>
          <w:p w:rsidR="004C49EF" w:rsidRDefault="004C49EF" w:rsidP="00855944">
            <w:pPr>
              <w:pStyle w:val="TableHEADER"/>
            </w:pPr>
          </w:p>
        </w:tc>
        <w:tc>
          <w:tcPr>
            <w:tcW w:w="895" w:type="pct"/>
          </w:tcPr>
          <w:p w:rsidR="004C49EF" w:rsidRDefault="004C49EF" w:rsidP="00855944">
            <w:pPr>
              <w:pStyle w:val="TableHEADER"/>
            </w:pPr>
            <w:r>
              <w:t>Type of study design*</w:t>
            </w:r>
          </w:p>
        </w:tc>
        <w:tc>
          <w:tcPr>
            <w:tcW w:w="1125" w:type="pct"/>
          </w:tcPr>
          <w:p w:rsidR="004C49EF" w:rsidRDefault="004C49EF" w:rsidP="00855944">
            <w:pPr>
              <w:pStyle w:val="TableHEADER"/>
            </w:pPr>
            <w:r>
              <w:t>Title of research (including any trial identifier if relevant)</w:t>
            </w:r>
          </w:p>
        </w:tc>
        <w:tc>
          <w:tcPr>
            <w:tcW w:w="884" w:type="pct"/>
          </w:tcPr>
          <w:p w:rsidR="004C49EF" w:rsidRDefault="00367C1B" w:rsidP="00855944">
            <w:pPr>
              <w:pStyle w:val="TableHEADER"/>
            </w:pPr>
            <w:r>
              <w:t xml:space="preserve">Short description of research </w:t>
            </w:r>
            <w:r w:rsidR="004C49EF">
              <w:t>(max 50 words)**</w:t>
            </w:r>
          </w:p>
        </w:tc>
        <w:tc>
          <w:tcPr>
            <w:tcW w:w="1246" w:type="pct"/>
          </w:tcPr>
          <w:p w:rsidR="004C49EF" w:rsidRDefault="004C49EF" w:rsidP="00855944">
            <w:pPr>
              <w:pStyle w:val="TableHEADER"/>
            </w:pPr>
            <w:r w:rsidRPr="00E82F54">
              <w:t xml:space="preserve">Website link to </w:t>
            </w:r>
            <w:r>
              <w:t>research (if available)</w:t>
            </w:r>
          </w:p>
        </w:tc>
        <w:tc>
          <w:tcPr>
            <w:tcW w:w="524" w:type="pct"/>
          </w:tcPr>
          <w:p w:rsidR="004C49EF" w:rsidRDefault="004C49EF" w:rsidP="00855944">
            <w:pPr>
              <w:pStyle w:val="TableHEADER"/>
            </w:pPr>
            <w:r w:rsidRPr="00E82F54">
              <w:t>Date*</w:t>
            </w:r>
            <w:r>
              <w:t>**</w:t>
            </w:r>
          </w:p>
        </w:tc>
      </w:tr>
      <w:tr w:rsidR="004C49EF" w:rsidTr="004C49EF">
        <w:trPr>
          <w:cantSplit/>
        </w:trPr>
        <w:tc>
          <w:tcPr>
            <w:tcW w:w="326" w:type="pct"/>
          </w:tcPr>
          <w:p w:rsidR="004C49EF" w:rsidRPr="00965B6B" w:rsidRDefault="004C49EF" w:rsidP="00526478">
            <w:pPr>
              <w:rPr>
                <w:szCs w:val="20"/>
              </w:rPr>
            </w:pPr>
            <w:r w:rsidRPr="00965B6B">
              <w:rPr>
                <w:szCs w:val="20"/>
              </w:rPr>
              <w:t>1</w:t>
            </w:r>
            <w:r>
              <w:rPr>
                <w:szCs w:val="20"/>
              </w:rPr>
              <w:t>.</w:t>
            </w:r>
          </w:p>
        </w:tc>
        <w:tc>
          <w:tcPr>
            <w:tcW w:w="895" w:type="pct"/>
          </w:tcPr>
          <w:p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rsidTr="004C49EF">
        <w:trPr>
          <w:cantSplit/>
        </w:trPr>
        <w:tc>
          <w:tcPr>
            <w:tcW w:w="326" w:type="pct"/>
          </w:tcPr>
          <w:p w:rsidR="004C49EF" w:rsidRPr="00965B6B" w:rsidRDefault="004C49EF" w:rsidP="00526478">
            <w:pPr>
              <w:rPr>
                <w:szCs w:val="20"/>
              </w:rPr>
            </w:pPr>
            <w:r>
              <w:rPr>
                <w:szCs w:val="20"/>
              </w:rPr>
              <w:t>2.</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3.</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4.</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5.</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6.</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7.</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8.</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9.</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rsidR="00DD308E" w:rsidRDefault="00DD308E">
      <w:pPr>
        <w:rPr>
          <w:b/>
          <w:sz w:val="32"/>
          <w:szCs w:val="32"/>
        </w:rPr>
        <w:sectPr w:rsidR="00DD308E" w:rsidSect="00124673">
          <w:pgSz w:w="11906" w:h="16838"/>
          <w:pgMar w:top="1440" w:right="1440" w:bottom="1440" w:left="1440" w:header="708" w:footer="708" w:gutter="0"/>
          <w:cols w:space="708"/>
          <w:docGrid w:linePitch="360"/>
        </w:sectPr>
      </w:pP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2203BC" w:rsidP="00A727B6">
      <w:pPr>
        <w:ind w:left="426"/>
      </w:pPr>
      <w:r>
        <w:t xml:space="preserve">The </w:t>
      </w:r>
      <w:r w:rsidRPr="002203BC">
        <w:t>Royal College of Pathologists of Australasia (RCPA)</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2203BC" w:rsidP="00A727B6">
      <w:pPr>
        <w:ind w:left="426"/>
      </w:pPr>
      <w:r w:rsidRPr="002203BC">
        <w:t xml:space="preserve">It should be noted that the RCPA provides the comparator services, so no others would be impacted by the medical service. However, these organisations may be relevant to the proposed medical service: Pathology Australia, Public Pathology Australia, </w:t>
      </w:r>
      <w:proofErr w:type="gramStart"/>
      <w:r w:rsidRPr="002203BC">
        <w:t>Australasian</w:t>
      </w:r>
      <w:proofErr w:type="gramEnd"/>
      <w:r w:rsidRPr="002203BC">
        <w:t xml:space="preserve"> Association of Clinical Biochemists.</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2203BC" w:rsidP="00A727B6">
      <w:pPr>
        <w:ind w:left="426"/>
        <w:rPr>
          <w:szCs w:val="20"/>
        </w:rPr>
      </w:pPr>
      <w:r w:rsidRPr="002203BC">
        <w:rPr>
          <w:szCs w:val="20"/>
        </w:rPr>
        <w:t>Australian Atherosclerosis Society, Cardiac Society of Australia and New Zealand, Endocrine Society of Australia and National Heart Foundation</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Default="002203BC" w:rsidP="00EE6450">
      <w:pPr>
        <w:ind w:left="426"/>
        <w:rPr>
          <w:szCs w:val="20"/>
        </w:rPr>
      </w:pPr>
      <w:r w:rsidRPr="002203BC">
        <w:rPr>
          <w:szCs w:val="20"/>
        </w:rPr>
        <w:t>Not applicable</w:t>
      </w:r>
    </w:p>
    <w:p w:rsidR="00E82F54" w:rsidRDefault="00E82F54" w:rsidP="00530204">
      <w:pPr>
        <w:pStyle w:val="Heading2"/>
      </w:pPr>
      <w:r w:rsidRPr="00154B00">
        <w:t>Nominate two experts who could be approached about the proposed medical service and the current clinical management of the service(s):</w:t>
      </w:r>
    </w:p>
    <w:p w:rsidR="00A96329" w:rsidRPr="00A96329" w:rsidRDefault="00A96329" w:rsidP="00A96329"/>
    <w:p w:rsidR="00987ABE" w:rsidRPr="00987ABE" w:rsidRDefault="00987ABE" w:rsidP="00987ABE">
      <w:pPr>
        <w:ind w:left="426"/>
        <w:rPr>
          <w:szCs w:val="20"/>
        </w:rPr>
      </w:pPr>
      <w:r>
        <w:rPr>
          <w:szCs w:val="20"/>
        </w:rPr>
        <w:t xml:space="preserve">Name of expert 1: </w:t>
      </w:r>
      <w:r w:rsidR="00915D86" w:rsidRPr="00915D86">
        <w:rPr>
          <w:szCs w:val="20"/>
        </w:rPr>
        <w:t>Redacted</w:t>
      </w:r>
    </w:p>
    <w:p w:rsidR="00987ABE" w:rsidRPr="00987ABE" w:rsidRDefault="00987ABE" w:rsidP="00987ABE">
      <w:pPr>
        <w:ind w:left="426"/>
        <w:rPr>
          <w:szCs w:val="20"/>
        </w:rPr>
      </w:pPr>
      <w:r>
        <w:rPr>
          <w:szCs w:val="20"/>
        </w:rPr>
        <w:t xml:space="preserve">Telephone number(s): </w:t>
      </w:r>
      <w:r w:rsidR="00915D86" w:rsidRPr="00915D86">
        <w:rPr>
          <w:szCs w:val="20"/>
        </w:rPr>
        <w:t>Redacted</w:t>
      </w:r>
    </w:p>
    <w:p w:rsidR="00987ABE" w:rsidRPr="00987ABE" w:rsidRDefault="00987ABE" w:rsidP="00987ABE">
      <w:pPr>
        <w:ind w:left="426"/>
        <w:rPr>
          <w:szCs w:val="20"/>
        </w:rPr>
      </w:pPr>
      <w:r>
        <w:rPr>
          <w:szCs w:val="20"/>
        </w:rPr>
        <w:t xml:space="preserve">Email address: </w:t>
      </w:r>
      <w:r w:rsidR="00915D86" w:rsidRPr="00915D86">
        <w:rPr>
          <w:szCs w:val="20"/>
        </w:rPr>
        <w:t>Redacted</w:t>
      </w:r>
    </w:p>
    <w:p w:rsidR="00987ABE" w:rsidRPr="00987ABE" w:rsidRDefault="00987ABE" w:rsidP="00987ABE">
      <w:pPr>
        <w:ind w:left="426"/>
        <w:rPr>
          <w:szCs w:val="20"/>
        </w:rPr>
      </w:pPr>
      <w:r>
        <w:rPr>
          <w:szCs w:val="20"/>
        </w:rPr>
        <w:t xml:space="preserve">Justification of expertise: </w:t>
      </w:r>
      <w:r w:rsidR="00915D86" w:rsidRPr="00915D86">
        <w:rPr>
          <w:szCs w:val="20"/>
        </w:rPr>
        <w:t>Redacted</w:t>
      </w:r>
    </w:p>
    <w:p w:rsidR="00987ABE" w:rsidRPr="00987ABE" w:rsidRDefault="00987ABE" w:rsidP="00987ABE">
      <w:pPr>
        <w:ind w:left="426"/>
        <w:rPr>
          <w:szCs w:val="20"/>
        </w:rPr>
      </w:pPr>
    </w:p>
    <w:p w:rsidR="00987ABE" w:rsidRPr="00987ABE" w:rsidRDefault="00987ABE" w:rsidP="00987ABE">
      <w:pPr>
        <w:ind w:left="426"/>
        <w:rPr>
          <w:szCs w:val="20"/>
        </w:rPr>
      </w:pPr>
      <w:r>
        <w:rPr>
          <w:szCs w:val="20"/>
        </w:rPr>
        <w:t xml:space="preserve">Name of expert 2: </w:t>
      </w:r>
      <w:r w:rsidR="00915D86" w:rsidRPr="00915D86">
        <w:rPr>
          <w:szCs w:val="20"/>
        </w:rPr>
        <w:t>Redacted</w:t>
      </w:r>
    </w:p>
    <w:p w:rsidR="00987ABE" w:rsidRPr="00987ABE" w:rsidRDefault="00987ABE" w:rsidP="00987ABE">
      <w:pPr>
        <w:ind w:left="426"/>
        <w:rPr>
          <w:szCs w:val="20"/>
        </w:rPr>
      </w:pPr>
      <w:r>
        <w:rPr>
          <w:szCs w:val="20"/>
        </w:rPr>
        <w:t xml:space="preserve">Telephone number(s): </w:t>
      </w:r>
      <w:r w:rsidR="00915D86" w:rsidRPr="00915D86">
        <w:rPr>
          <w:szCs w:val="20"/>
        </w:rPr>
        <w:t>Redacted</w:t>
      </w:r>
    </w:p>
    <w:p w:rsidR="00987ABE" w:rsidRPr="00987ABE" w:rsidRDefault="00987ABE" w:rsidP="00987ABE">
      <w:pPr>
        <w:ind w:left="426"/>
        <w:rPr>
          <w:szCs w:val="20"/>
        </w:rPr>
      </w:pPr>
      <w:r>
        <w:rPr>
          <w:szCs w:val="20"/>
        </w:rPr>
        <w:t xml:space="preserve">Email address: </w:t>
      </w:r>
      <w:r w:rsidR="00915D86" w:rsidRPr="00915D86">
        <w:rPr>
          <w:szCs w:val="20"/>
        </w:rPr>
        <w:t>Redacted</w:t>
      </w:r>
    </w:p>
    <w:p w:rsidR="00E82F54" w:rsidRPr="00154B00" w:rsidRDefault="00987ABE" w:rsidP="00987ABE">
      <w:pPr>
        <w:ind w:left="426"/>
        <w:rPr>
          <w:szCs w:val="20"/>
        </w:rPr>
      </w:pPr>
      <w:r>
        <w:rPr>
          <w:szCs w:val="20"/>
        </w:rPr>
        <w:t xml:space="preserve">Justification of expertise: </w:t>
      </w:r>
      <w:r w:rsidR="00915D86" w:rsidRPr="00915D86">
        <w:rPr>
          <w:szCs w:val="20"/>
        </w:rPr>
        <w:t>Redacted</w:t>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915D86" w:rsidRPr="00915D86" w:rsidRDefault="00915D86" w:rsidP="004624AC">
      <w:pPr>
        <w:spacing w:before="0" w:after="0"/>
        <w:ind w:left="425"/>
        <w:rPr>
          <w:szCs w:val="20"/>
        </w:rPr>
      </w:pPr>
      <w:r w:rsidRPr="00915D86">
        <w:rPr>
          <w:szCs w:val="20"/>
        </w:rPr>
        <w:t>CVD encompasses four major areas including coronary heart disease, cerebrovascular disease, peripheral artery disease and aortic atherosclerosis, thoracic or aortic aneurysms. CVD is common in the general population with a lifetime risk approaching 50% in persons aged 30 y without known CVD. In 2012 and 2013, CVD was estimated to result in 17.3 million deaths worldwide on an annual basis.  Coronary heart disease accounts for one third to one half of the total cases of CVD.</w:t>
      </w:r>
    </w:p>
    <w:p w:rsidR="00915D86" w:rsidRPr="00915D86" w:rsidRDefault="00915D86" w:rsidP="004624AC">
      <w:pPr>
        <w:spacing w:before="0" w:after="0"/>
        <w:ind w:left="425"/>
        <w:rPr>
          <w:szCs w:val="20"/>
        </w:rPr>
      </w:pPr>
    </w:p>
    <w:p w:rsidR="00915D86" w:rsidRPr="00915D86" w:rsidRDefault="00915D86" w:rsidP="004624AC">
      <w:pPr>
        <w:spacing w:before="0" w:after="0"/>
        <w:ind w:left="425"/>
        <w:rPr>
          <w:szCs w:val="20"/>
        </w:rPr>
      </w:pPr>
      <w:r w:rsidRPr="00915D86">
        <w:rPr>
          <w:szCs w:val="20"/>
        </w:rPr>
        <w:t>Clinical risk factors include high blood pressure, high cholesterol, overweight and obesity, physical inactivity, low fruit and vegetable intake, alcohol and smoking. Nine in 10 adult Australians have at least one risk factor for CVD and one in four (25%) have three or more risk factors.</w:t>
      </w:r>
    </w:p>
    <w:p w:rsidR="00915D86" w:rsidRPr="00915D86" w:rsidRDefault="00915D86" w:rsidP="004624AC">
      <w:pPr>
        <w:spacing w:before="0" w:after="0"/>
        <w:ind w:left="425"/>
        <w:rPr>
          <w:szCs w:val="20"/>
        </w:rPr>
      </w:pPr>
    </w:p>
    <w:p w:rsidR="00915D86" w:rsidRPr="00915D86" w:rsidRDefault="00915D86" w:rsidP="004624AC">
      <w:pPr>
        <w:spacing w:before="0" w:after="0"/>
        <w:ind w:left="425"/>
        <w:rPr>
          <w:szCs w:val="20"/>
        </w:rPr>
      </w:pPr>
      <w:r w:rsidRPr="00915D86">
        <w:rPr>
          <w:szCs w:val="20"/>
        </w:rPr>
        <w:t>Despite increases in longevity and decreases in age-specific death rates from CVD, chronic heart disease (CHD), and stroke since 1975, CVD and its related complications remain highly prevalent. In one cohort of over 1.9 million persons aged 30 years or older free of known baseline CVD who were followed for a median of six years, the majority of initial CVD presentations were neither myocardial infarction nor stroke. These presentations, which included angina, heart failure, peripheral arterial disease, transient ischemic attack, and abdominal aortic aneurysm, along with some less common manifestations, represented 66% of the initial CVD presentations.</w:t>
      </w:r>
    </w:p>
    <w:p w:rsidR="00915D86" w:rsidRPr="00915D86" w:rsidRDefault="00915D86" w:rsidP="004624AC">
      <w:pPr>
        <w:spacing w:before="0" w:after="0"/>
        <w:ind w:left="425"/>
        <w:rPr>
          <w:szCs w:val="20"/>
        </w:rPr>
      </w:pPr>
    </w:p>
    <w:p w:rsidR="00915D86" w:rsidRPr="00915D86" w:rsidRDefault="00915D86" w:rsidP="004624AC">
      <w:pPr>
        <w:spacing w:before="0" w:after="0"/>
        <w:ind w:left="425"/>
        <w:rPr>
          <w:szCs w:val="20"/>
        </w:rPr>
      </w:pPr>
      <w:r w:rsidRPr="00915D86">
        <w:rPr>
          <w:szCs w:val="20"/>
        </w:rPr>
        <w:t xml:space="preserve">While CVD remains the leading cause of death in most developed countries, mortality from acute myocardial infarction (MI) has decreased by up to 50 percent since the 1990s. Among 49 countries in Europe and northern Asia, over 4 million persons die annually from CHD. In the United States, approximately 1.5 million persons suffer a heart attack or stroke annually, resulting in over 250,000 deaths. In Australia, CVD was the main cause for 480,548 hospitalisations in 2013/14 and played an additional role in another 680,000 hospitalisations. It affects 4.2 million Australians and claimed an estimated 45,392 Australians (nearly 30% of all deaths) in 2015 - deaths thought largely preventable. </w:t>
      </w:r>
    </w:p>
    <w:p w:rsidR="00915D86" w:rsidRPr="00915D86" w:rsidRDefault="00915D86" w:rsidP="004624AC">
      <w:pPr>
        <w:spacing w:before="0" w:after="0"/>
        <w:ind w:left="425"/>
        <w:rPr>
          <w:szCs w:val="20"/>
        </w:rPr>
      </w:pPr>
    </w:p>
    <w:p w:rsidR="002A6753" w:rsidRPr="00154B00" w:rsidRDefault="00915D86" w:rsidP="004624AC">
      <w:pPr>
        <w:spacing w:before="0" w:after="0"/>
        <w:ind w:left="425"/>
        <w:rPr>
          <w:szCs w:val="20"/>
        </w:rPr>
      </w:pPr>
      <w:r w:rsidRPr="00915D86">
        <w:rPr>
          <w:szCs w:val="20"/>
        </w:rPr>
        <w:t>Many risk factors for CVD are modifiable by preventive measures. In the worldwide INTERHEART study of patients from 52 countries, nine modifiable factors accounted for over 90 percent of the population-attributable risk of a first myocardial infarction MI: smoking, dyslipidaemia, hypertension, diabetes, abdominal obesity, psychosocial factors, daily consumption of fruits and vegetables, regular alcohol consumption, and regular physical activity.</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AA5FDA" w:rsidRPr="00154B00" w:rsidRDefault="004624AC" w:rsidP="004624AC">
      <w:pPr>
        <w:spacing w:before="0" w:after="0"/>
        <w:ind w:left="425"/>
        <w:rPr>
          <w:szCs w:val="20"/>
        </w:rPr>
      </w:pPr>
      <w:r w:rsidRPr="004624AC">
        <w:rPr>
          <w:szCs w:val="20"/>
        </w:rPr>
        <w:t>Measurement of apoB would be relevant in patients who are mild-moderately hypertriglyceridaemic owing to mixed hyperlipidaemia or as an isolated abnormality. This encompasses patients with metabolic syndrome, obesity, type 2 diabetes, chronic kidney disease, and familial hyperapoB.</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4624AC" w:rsidRDefault="004624AC" w:rsidP="004624AC">
      <w:pPr>
        <w:spacing w:before="0" w:after="0"/>
        <w:ind w:left="425"/>
      </w:pPr>
      <w:r>
        <w:t xml:space="preserve">A lipid profile would typically be undertaken as part of routine biochemical testing for cardiovascular risk assessment. This testing would include measurement of total cholesterol, HDL-cholesterol, triglyceride, </w:t>
      </w:r>
      <w:r>
        <w:lastRenderedPageBreak/>
        <w:t>calculated LDL-cholesterol (using the Friedewald equation), along with calculation of non-HDL-cholesterol.</w:t>
      </w:r>
    </w:p>
    <w:p w:rsidR="00BC424B" w:rsidRPr="00BC424B" w:rsidRDefault="004624AC" w:rsidP="004624AC">
      <w:pPr>
        <w:spacing w:before="0" w:after="0"/>
        <w:ind w:left="425"/>
      </w:pPr>
      <w:r>
        <w:t>In normolipidaemic patients and those with type IIa and IIb hyperlipoproteinaemia there is high correlation between non-HDL-cholesterol and apoB as VLDL constitutes only a small minority of the apoB-containing particles. However, marked variance between apoB and non-HDL-cholesterol is found in type I (chylomicronaemia), III (dysbetalipoproteinaemia), and V (chylomicronaemia and excess VLDL) hyperlipoproteinaemia, where the number of LDL particles is typically low. Moreover, the correlation between non-HDL-cholesterol and apoB is low in type IV hyperlipoproteinaemia, a heterogeneous disorder, in those with moderate hypertriglyceridaemia (≥3 mmol/L) when compared with mild hypertriglyceridaemia (&lt;3 mmol/L).</w:t>
      </w:r>
    </w:p>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2A50FD" w:rsidRPr="00154B00" w:rsidRDefault="004624AC" w:rsidP="004624AC">
      <w:pPr>
        <w:spacing w:before="0" w:after="0"/>
        <w:ind w:left="425"/>
        <w:rPr>
          <w:szCs w:val="20"/>
        </w:rPr>
      </w:pPr>
      <w:r w:rsidRPr="004624AC">
        <w:rPr>
          <w:szCs w:val="20"/>
        </w:rPr>
        <w:t>ApoB testing requires a venepuncture to be performed on the patient for the collection of a blood sample that is referred to a pathology laboratory for biochemical analysis.</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4624AC" w:rsidP="004624AC">
      <w:pPr>
        <w:spacing w:before="0" w:after="0"/>
        <w:ind w:left="425"/>
        <w:rPr>
          <w:szCs w:val="20"/>
        </w:rPr>
      </w:pPr>
      <w:r w:rsidRPr="004624AC">
        <w:rPr>
          <w:szCs w:val="20"/>
        </w:rPr>
        <w:t>Various immunoassays are available for apoB testing using similar scientific principles and no single commercial or trademark product is endorsed in this application.</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4624AC" w:rsidP="00E357B9">
      <w:pPr>
        <w:ind w:left="426"/>
        <w:rPr>
          <w:b/>
          <w:szCs w:val="20"/>
        </w:rPr>
      </w:pPr>
      <w:r>
        <w:t>Not applicable</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4624AC" w:rsidP="004624AC">
      <w:pPr>
        <w:spacing w:before="0" w:after="0"/>
        <w:ind w:left="425"/>
        <w:rPr>
          <w:szCs w:val="20"/>
        </w:rPr>
      </w:pPr>
      <w:r w:rsidRPr="004624AC">
        <w:rPr>
          <w:szCs w:val="20"/>
        </w:rPr>
        <w:t>The medical service would be limited to patients with conditions associated with the presence of small dense LDL and hyperapoB, rare genetic hypocholesterolaemic disorders (e.g. familial hypobetalipoproteinaemia and abetalipoproteinaemia), and in patients with cholestatic liver disease where there is the presence of the abnormal lipoprotein X.</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4624AC" w:rsidP="00884E69">
      <w:pPr>
        <w:ind w:left="426"/>
        <w:rPr>
          <w:szCs w:val="20"/>
        </w:rPr>
      </w:pPr>
      <w:r>
        <w:t>Not applicable</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4624AC" w:rsidP="00884E69">
      <w:pPr>
        <w:ind w:left="426"/>
        <w:rPr>
          <w:szCs w:val="20"/>
        </w:rPr>
      </w:pPr>
      <w:r w:rsidRPr="004624AC">
        <w:rPr>
          <w:szCs w:val="20"/>
        </w:rPr>
        <w:t>Testing would be provided by Approved Pathology Practitioners in line with other tests in the MBS Pathology Table.</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4624AC" w:rsidP="00884E69">
      <w:pPr>
        <w:ind w:left="426"/>
        <w:rPr>
          <w:szCs w:val="20"/>
        </w:rPr>
      </w:pPr>
      <w:r w:rsidRPr="004624AC">
        <w:rPr>
          <w:szCs w:val="20"/>
        </w:rPr>
        <w:t>Testing would be provided by Approved Pathology Practitioners in line with other tests in the MBS Pathology Table.</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4624AC" w:rsidP="00BC424B">
      <w:pPr>
        <w:ind w:left="426"/>
        <w:rPr>
          <w:szCs w:val="20"/>
        </w:rPr>
      </w:pPr>
      <w:r w:rsidRPr="004624AC">
        <w:rPr>
          <w:szCs w:val="20"/>
        </w:rPr>
        <w:t>Testing would be delivered only by Approved Pathology Practitioners in Accredited Pathology Laboratories (as defined in MBS Pathology table) by referral only by registered Medical Practitioners (non-pathologists) in line with other tests in the MBS Pathology Table.</w:t>
      </w:r>
    </w:p>
    <w:p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4624AC" w:rsidP="0073597B">
      <w:pPr>
        <w:ind w:left="426"/>
        <w:rPr>
          <w:szCs w:val="20"/>
        </w:rPr>
      </w:pPr>
      <w:r w:rsidRPr="004624AC">
        <w:rPr>
          <w:szCs w:val="20"/>
        </w:rPr>
        <w:lastRenderedPageBreak/>
        <w:t>Testing would be delivered only by Approved Pathology Practitioners in Accredited Pathology Laboratories (as defined in MBS Pathology table).</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Patient’s home</w:t>
      </w:r>
    </w:p>
    <w:p w:rsidR="000A478F" w:rsidRDefault="004624AC"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03EE6">
        <w:rPr>
          <w:szCs w:val="20"/>
        </w:rPr>
      </w:r>
      <w:r w:rsidR="00603EE6">
        <w:rPr>
          <w:szCs w:val="20"/>
        </w:rPr>
        <w:fldChar w:fldCharType="separate"/>
      </w:r>
      <w:r w:rsidRPr="000A5B32">
        <w:rPr>
          <w:szCs w:val="20"/>
        </w:rPr>
        <w:fldChar w:fldCharType="end"/>
      </w:r>
      <w:r>
        <w:rPr>
          <w:szCs w:val="20"/>
        </w:rPr>
        <w:t xml:space="preserve"> </w:t>
      </w:r>
      <w:r>
        <w:t>Other – please specify below</w:t>
      </w:r>
    </w:p>
    <w:p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836BD3" w:rsidRPr="00836BD3" w:rsidRDefault="00836BD3" w:rsidP="00836BD3">
      <w:pPr>
        <w:ind w:left="360"/>
        <w:rPr>
          <w:szCs w:val="20"/>
        </w:rPr>
      </w:pPr>
      <w:r w:rsidRPr="00836BD3">
        <w:rPr>
          <w:szCs w:val="20"/>
        </w:rPr>
        <w:t>Not applicable</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836BD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836BD3" w:rsidRPr="00836BD3" w:rsidRDefault="00836BD3" w:rsidP="00836BD3">
      <w:pPr>
        <w:spacing w:before="0" w:after="0"/>
        <w:ind w:left="425"/>
        <w:rPr>
          <w:szCs w:val="20"/>
        </w:rPr>
      </w:pPr>
      <w:r w:rsidRPr="00836BD3">
        <w:rPr>
          <w:szCs w:val="20"/>
        </w:rPr>
        <w:t xml:space="preserve">The comparator for apoB is non-HDL-cholesterol, which can be calculated by subtracting HDL-cholesterol from total cholesterol at no additional expense beyond the standard lipid panel. </w:t>
      </w:r>
    </w:p>
    <w:p w:rsidR="00836BD3" w:rsidRPr="00836BD3" w:rsidRDefault="00836BD3" w:rsidP="00836BD3">
      <w:pPr>
        <w:spacing w:before="0" w:after="0"/>
        <w:ind w:left="425"/>
        <w:rPr>
          <w:szCs w:val="20"/>
        </w:rPr>
      </w:pPr>
      <w:r w:rsidRPr="00836BD3">
        <w:rPr>
          <w:szCs w:val="20"/>
        </w:rPr>
        <w:t>Non-HDL-cholesterol is superior to LDL-cholesterol in assessing CVD risk, because it better estimates the LDL particle number. In terms of analytical error, non-HDL-cholesterol involves two measurements. Total cholesterol is relatively well standardised, and assays are precise. However, direct HDL-cholesterol assays are problematic, and bias and imprecision are likely to impact the clinical accuracy of non-HDL-cholesterol calculation.</w:t>
      </w:r>
    </w:p>
    <w:p w:rsidR="00E60529" w:rsidRPr="00154B00" w:rsidRDefault="00836BD3" w:rsidP="00836BD3">
      <w:pPr>
        <w:spacing w:before="0" w:after="0"/>
        <w:ind w:left="425"/>
        <w:rPr>
          <w:szCs w:val="20"/>
        </w:rPr>
      </w:pPr>
      <w:r w:rsidRPr="00836BD3">
        <w:rPr>
          <w:szCs w:val="20"/>
        </w:rPr>
        <w:t>Although apoB and non-HDL-cholesterol are highly correlated, they measure different entities. Non-HDL-cholesterol is not equivalent to apoB as a marker of cardiovascular risk. If apoB is high, but non-HDL-cholesterol is normal, cardiovascular risk is high. If non-HDL-cholesterol is high, but apoB is normal, cardiovascular risk is not high. Approximately 1 in 6 individuals would have clinically significant discordance between these measures.</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3417B2"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6A1038">
        <w:rPr>
          <w:szCs w:val="20"/>
        </w:rPr>
        <w:t xml:space="preserve"> Yes (please provide all relevant MBS item numbers below)</w:t>
      </w:r>
    </w:p>
    <w:p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No  </w:t>
      </w:r>
    </w:p>
    <w:p w:rsidR="000159B9" w:rsidRPr="00154B00" w:rsidRDefault="003417B2" w:rsidP="001B29A1">
      <w:pPr>
        <w:ind w:left="426"/>
        <w:rPr>
          <w:szCs w:val="20"/>
        </w:rPr>
      </w:pPr>
      <w:proofErr w:type="gramStart"/>
      <w:r w:rsidRPr="003417B2">
        <w:rPr>
          <w:szCs w:val="20"/>
        </w:rPr>
        <w:t>66500 Total cholesterol</w:t>
      </w:r>
      <w:proofErr w:type="gramEnd"/>
      <w:r w:rsidRPr="003417B2">
        <w:rPr>
          <w:szCs w:val="20"/>
        </w:rPr>
        <w:t>; 66536 Quantitation of HDL cholesterol</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3433D1" w:rsidRPr="003417B2" w:rsidRDefault="003417B2" w:rsidP="003417B2">
      <w:pPr>
        <w:spacing w:before="0" w:after="0"/>
        <w:ind w:left="425"/>
        <w:rPr>
          <w:szCs w:val="20"/>
        </w:rPr>
      </w:pPr>
      <w:r w:rsidRPr="003417B2">
        <w:rPr>
          <w:szCs w:val="20"/>
        </w:rPr>
        <w:t>The clinical management pathway after the comparator (non-HDL-cholesterol calculated by subtracting HDL-cholesterol from total cholesterol) would include lifestyle measures to address known CVD risk factors which would include cessation of smoking, control of blood pressure, diet modification, decreased alcohol intake, increasing physical activity along with weight loss, together with appropriate lipid-lowering therapy. ApoB testing would be indicated in patients who were found to have mild-moderate hypertriglyceridaemia (≥3 and &lt;10 mmol/L), consistent with the presence of atherogenic small dense LDL particles. It is also helpful in the diagnosis of rare genetic hypocholesterolaemic disorders (e.g. familial hypobetalipoproteinaemia and abetalipoproteinaemia), and in patients with cholestatic liver disease, where there is the presence of the abnormal lipoprotein X.</w:t>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8340F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1B29A1">
        <w:rPr>
          <w:szCs w:val="20"/>
        </w:rPr>
        <w:t xml:space="preserve"> Yes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03EE6">
        <w:rPr>
          <w:szCs w:val="20"/>
        </w:rPr>
      </w:r>
      <w:r w:rsidR="00603EE6">
        <w:rPr>
          <w:szCs w:val="20"/>
        </w:rPr>
        <w:fldChar w:fldCharType="separate"/>
      </w:r>
      <w:r w:rsidRPr="00753C44">
        <w:rPr>
          <w:szCs w:val="20"/>
        </w:rPr>
        <w:fldChar w:fldCharType="end"/>
      </w:r>
      <w:r>
        <w:rPr>
          <w:szCs w:val="20"/>
        </w:rPr>
        <w:t xml:space="preserve"> No  </w:t>
      </w:r>
    </w:p>
    <w:p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8340F9" w:rsidP="001B29A1">
      <w:pPr>
        <w:ind w:left="426"/>
        <w:rPr>
          <w:szCs w:val="20"/>
        </w:rPr>
      </w:pPr>
      <w:r w:rsidRPr="008340F9">
        <w:rPr>
          <w:szCs w:val="20"/>
        </w:rPr>
        <w:t>It is expected that 5-10% of patients identified by the presence of mild-moderately elevated triglyceride levels (≥</w:t>
      </w:r>
      <w:proofErr w:type="gramStart"/>
      <w:r w:rsidRPr="008340F9">
        <w:rPr>
          <w:szCs w:val="20"/>
        </w:rPr>
        <w:t>3  mmol</w:t>
      </w:r>
      <w:proofErr w:type="gramEnd"/>
      <w:r w:rsidRPr="008340F9">
        <w:rPr>
          <w:szCs w:val="20"/>
        </w:rPr>
        <w:t>/L) would progress to apoB for more precise cardiovascular risk assessment.</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8340F9" w:rsidRPr="008340F9" w:rsidRDefault="008340F9" w:rsidP="008340F9">
      <w:pPr>
        <w:pStyle w:val="ListParagraph"/>
        <w:ind w:left="360"/>
        <w:rPr>
          <w:szCs w:val="20"/>
        </w:rPr>
      </w:pPr>
      <w:r w:rsidRPr="008340F9">
        <w:rPr>
          <w:szCs w:val="20"/>
        </w:rPr>
        <w:t>Currently patients assessed as having high non-HDL-cholesterol are advised on lifestyle adjustments measures and offered therapies for prevention to reduce CVD risk.</w:t>
      </w:r>
    </w:p>
    <w:p w:rsidR="008340F9" w:rsidRPr="008340F9" w:rsidRDefault="008340F9" w:rsidP="008340F9">
      <w:pPr>
        <w:pStyle w:val="ListParagraph"/>
        <w:ind w:left="360"/>
        <w:rPr>
          <w:szCs w:val="20"/>
        </w:rPr>
      </w:pPr>
      <w:r w:rsidRPr="008340F9">
        <w:rPr>
          <w:szCs w:val="20"/>
        </w:rPr>
        <w:lastRenderedPageBreak/>
        <w:t>ApoB testing will more accurately identify patients with hyperapoB than current non-HDL-cholesterol evaluation and allow for more targeted medical advice and therapy. It is valuable in distinguishing patients who may be managed with advice on lifestyle factors in the first instance from those requiring immediate lipid-lowering therapy.</w:t>
      </w:r>
    </w:p>
    <w:p w:rsidR="008340F9" w:rsidRPr="008340F9" w:rsidRDefault="008340F9" w:rsidP="008340F9">
      <w:pPr>
        <w:pStyle w:val="ListParagraph"/>
        <w:ind w:left="360"/>
        <w:rPr>
          <w:szCs w:val="20"/>
        </w:rPr>
      </w:pPr>
      <w:r w:rsidRPr="008340F9">
        <w:rPr>
          <w:szCs w:val="20"/>
        </w:rPr>
        <w:t xml:space="preserve">ApoB measurement will be a useful diagnostic tool should there be a suspicion of the presence of lipoprotein X, an abnormal lipoprotein that occurs in cholestatic liver disease. </w:t>
      </w:r>
    </w:p>
    <w:p w:rsidR="0054594B" w:rsidRPr="008340F9" w:rsidRDefault="008340F9" w:rsidP="008340F9">
      <w:pPr>
        <w:pStyle w:val="ListParagraph"/>
        <w:ind w:left="360"/>
        <w:rPr>
          <w:szCs w:val="20"/>
        </w:rPr>
      </w:pPr>
      <w:r w:rsidRPr="008340F9">
        <w:rPr>
          <w:szCs w:val="20"/>
        </w:rPr>
        <w:t>ApoB testing will allow for appropriate treatment of patients with genetic hypocholesterolaemic lipid disorders (e.g. familial hypobetalipoproteinaemia and abetalipoproteinaemia), where apoB levels are very low or absent, and where appropriate treatments such as supplementation with fat soluble vitamins are required.</w:t>
      </w: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4E3CC7" w:rsidRPr="00154B00" w:rsidRDefault="008340F9" w:rsidP="001B29A1">
      <w:pPr>
        <w:ind w:left="426"/>
        <w:rPr>
          <w:szCs w:val="20"/>
        </w:rPr>
      </w:pPr>
      <w:r w:rsidRPr="008340F9">
        <w:rPr>
          <w:szCs w:val="20"/>
        </w:rPr>
        <w:t>ApoB testing is clinically superior when compared to non-HDL-cholesterol. The benefits relate to the ability of apoB to more accurately identify patients with hyperapoB, diagnosing genetic hypocholesterolaemic lipid disorders, and should there be a suspicion of the presence of lipoprotein X, an abnormal lipoprotein that occurs in cholestatic liver disease than non-HDL-cholesterol, which allows for more targeted medical advice and therapy, thereby reducing the morbidity and mortality associated with CVD.</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8340F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03EE6">
        <w:rPr>
          <w:szCs w:val="20"/>
        </w:rPr>
      </w:r>
      <w:r w:rsidR="00603EE6">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rsidR="008340F9" w:rsidRDefault="008340F9" w:rsidP="008340F9">
      <w:pPr>
        <w:pBdr>
          <w:top w:val="single" w:sz="4" w:space="1" w:color="auto"/>
          <w:left w:val="single" w:sz="4" w:space="4" w:color="auto"/>
          <w:bottom w:val="single" w:sz="4" w:space="1" w:color="auto"/>
          <w:right w:val="single" w:sz="4" w:space="4" w:color="auto"/>
        </w:pBdr>
        <w:spacing w:before="0" w:after="0"/>
      </w:pPr>
      <w:r>
        <w:t>Equivalent (non-inferior) safety to other blood tests for Total cholesterol and HDL-cholesterol</w:t>
      </w:r>
    </w:p>
    <w:p w:rsidR="008340F9" w:rsidRDefault="008340F9" w:rsidP="008340F9">
      <w:pPr>
        <w:pBdr>
          <w:top w:val="single" w:sz="4" w:space="1" w:color="auto"/>
          <w:left w:val="single" w:sz="4" w:space="4" w:color="auto"/>
          <w:bottom w:val="single" w:sz="4" w:space="1" w:color="auto"/>
          <w:right w:val="single" w:sz="4" w:space="4" w:color="auto"/>
        </w:pBdr>
        <w:spacing w:before="0" w:after="0"/>
      </w:pPr>
      <w:r>
        <w:t>Superior safety for assessment of high CVD risk</w:t>
      </w:r>
    </w:p>
    <w:p w:rsidR="008340F9" w:rsidRDefault="008340F9" w:rsidP="008340F9">
      <w:pPr>
        <w:pBdr>
          <w:top w:val="single" w:sz="4" w:space="1" w:color="auto"/>
          <w:left w:val="single" w:sz="4" w:space="4" w:color="auto"/>
          <w:bottom w:val="single" w:sz="4" w:space="1" w:color="auto"/>
          <w:right w:val="single" w:sz="4" w:space="4" w:color="auto"/>
        </w:pBdr>
        <w:spacing w:before="0" w:after="0"/>
      </w:pPr>
      <w:proofErr w:type="gramStart"/>
      <w:r>
        <w:t>Superior safety for assessment of other dyslipidaemias.</w:t>
      </w:r>
      <w:proofErr w:type="gramEnd"/>
    </w:p>
    <w:p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rsidR="008340F9" w:rsidRPr="008340F9" w:rsidRDefault="008340F9" w:rsidP="008340F9">
      <w:pPr>
        <w:pBdr>
          <w:top w:val="single" w:sz="4" w:space="1" w:color="auto"/>
          <w:left w:val="single" w:sz="4" w:space="4" w:color="auto"/>
          <w:bottom w:val="single" w:sz="4" w:space="1" w:color="auto"/>
          <w:right w:val="single" w:sz="4" w:space="4" w:color="auto"/>
        </w:pBdr>
        <w:spacing w:before="0" w:after="0"/>
        <w:rPr>
          <w:szCs w:val="20"/>
        </w:rPr>
      </w:pPr>
      <w:r w:rsidRPr="008340F9">
        <w:rPr>
          <w:szCs w:val="20"/>
        </w:rPr>
        <w:t>Quantitative testing rather than qualitative evaluation of hyperapoB</w:t>
      </w:r>
    </w:p>
    <w:p w:rsidR="008340F9" w:rsidRPr="008340F9" w:rsidRDefault="008340F9" w:rsidP="008340F9">
      <w:pPr>
        <w:pBdr>
          <w:top w:val="single" w:sz="4" w:space="1" w:color="auto"/>
          <w:left w:val="single" w:sz="4" w:space="4" w:color="auto"/>
          <w:bottom w:val="single" w:sz="4" w:space="1" w:color="auto"/>
          <w:right w:val="single" w:sz="4" w:space="4" w:color="auto"/>
        </w:pBdr>
        <w:spacing w:before="0" w:after="0"/>
        <w:rPr>
          <w:szCs w:val="20"/>
        </w:rPr>
      </w:pPr>
      <w:r w:rsidRPr="008340F9">
        <w:rPr>
          <w:szCs w:val="20"/>
        </w:rPr>
        <w:t>Identifies patients that otherwise might not receive therapy</w:t>
      </w:r>
    </w:p>
    <w:p w:rsidR="008340F9" w:rsidRPr="008340F9" w:rsidRDefault="008340F9" w:rsidP="008340F9">
      <w:pPr>
        <w:pBdr>
          <w:top w:val="single" w:sz="4" w:space="1" w:color="auto"/>
          <w:left w:val="single" w:sz="4" w:space="4" w:color="auto"/>
          <w:bottom w:val="single" w:sz="4" w:space="1" w:color="auto"/>
          <w:right w:val="single" w:sz="4" w:space="4" w:color="auto"/>
        </w:pBdr>
        <w:spacing w:before="0" w:after="0"/>
        <w:rPr>
          <w:szCs w:val="20"/>
        </w:rPr>
      </w:pPr>
      <w:r w:rsidRPr="008340F9">
        <w:rPr>
          <w:szCs w:val="20"/>
        </w:rPr>
        <w:t>Prevention of coronary events</w:t>
      </w:r>
    </w:p>
    <w:p w:rsidR="008340F9" w:rsidRPr="008340F9" w:rsidRDefault="008340F9" w:rsidP="008340F9">
      <w:pPr>
        <w:pBdr>
          <w:top w:val="single" w:sz="4" w:space="1" w:color="auto"/>
          <w:left w:val="single" w:sz="4" w:space="4" w:color="auto"/>
          <w:bottom w:val="single" w:sz="4" w:space="1" w:color="auto"/>
          <w:right w:val="single" w:sz="4" w:space="4" w:color="auto"/>
        </w:pBdr>
        <w:spacing w:before="0" w:after="0"/>
        <w:rPr>
          <w:szCs w:val="20"/>
        </w:rPr>
      </w:pPr>
      <w:r w:rsidRPr="008340F9">
        <w:rPr>
          <w:szCs w:val="20"/>
        </w:rPr>
        <w:t>Prevention of poor health outcomes of other dyslipidaemias</w:t>
      </w:r>
    </w:p>
    <w:p w:rsidR="008340F9" w:rsidRPr="001B29A1" w:rsidRDefault="008340F9" w:rsidP="008340F9">
      <w:pPr>
        <w:pBdr>
          <w:top w:val="single" w:sz="4" w:space="1" w:color="auto"/>
          <w:left w:val="single" w:sz="4" w:space="4" w:color="auto"/>
          <w:bottom w:val="single" w:sz="4" w:space="1" w:color="auto"/>
          <w:right w:val="single" w:sz="4" w:space="4" w:color="auto"/>
        </w:pBdr>
        <w:spacing w:before="0" w:after="0"/>
        <w:rPr>
          <w:szCs w:val="20"/>
        </w:rPr>
      </w:pPr>
    </w:p>
    <w:p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8340F9" w:rsidRPr="008340F9" w:rsidRDefault="008340F9" w:rsidP="008340F9">
      <w:pPr>
        <w:ind w:left="426"/>
        <w:rPr>
          <w:szCs w:val="20"/>
        </w:rPr>
      </w:pPr>
      <w:r w:rsidRPr="008340F9">
        <w:rPr>
          <w:szCs w:val="20"/>
        </w:rPr>
        <w:t>170,000</w:t>
      </w:r>
    </w:p>
    <w:p w:rsidR="008340F9" w:rsidRPr="008340F9" w:rsidRDefault="008340F9" w:rsidP="008340F9">
      <w:pPr>
        <w:ind w:left="426"/>
        <w:rPr>
          <w:szCs w:val="20"/>
        </w:rPr>
      </w:pPr>
      <w:r w:rsidRPr="008340F9">
        <w:rPr>
          <w:szCs w:val="20"/>
        </w:rPr>
        <w:t xml:space="preserve">Hypertriglyceridaemia in adults is estimated to be present in 14% of adult Australians i.e. approx. 2.5 million people. </w:t>
      </w:r>
    </w:p>
    <w:p w:rsidR="008340F9" w:rsidRPr="008340F9" w:rsidRDefault="008340F9" w:rsidP="008340F9">
      <w:pPr>
        <w:ind w:left="426"/>
        <w:rPr>
          <w:szCs w:val="20"/>
        </w:rPr>
      </w:pPr>
      <w:r w:rsidRPr="008340F9">
        <w:rPr>
          <w:szCs w:val="20"/>
        </w:rPr>
        <w:t xml:space="preserve">In 2011–12, 13.9% of people aged 18 years and over had high triglyceride levels (TG ≥2 mmol/L). High triglycerides were more common among men (19.0%) than women (9.0%). The proportion of people with high triglycerides steadily increased with age until middle adulthood, before gradually declining in older age. Overall, rates were highest among those aged 45–54 years (18.5%) </w:t>
      </w:r>
      <w:proofErr w:type="gramStart"/>
      <w:r w:rsidRPr="008340F9">
        <w:rPr>
          <w:szCs w:val="20"/>
        </w:rPr>
        <w:t>(ABS).</w:t>
      </w:r>
      <w:proofErr w:type="gramEnd"/>
      <w:r w:rsidRPr="008340F9">
        <w:rPr>
          <w:szCs w:val="20"/>
        </w:rPr>
        <w:t xml:space="preserve"> </w:t>
      </w:r>
    </w:p>
    <w:p w:rsidR="008340F9" w:rsidRPr="008340F9" w:rsidRDefault="008340F9" w:rsidP="008340F9">
      <w:pPr>
        <w:ind w:left="426"/>
        <w:rPr>
          <w:szCs w:val="20"/>
        </w:rPr>
      </w:pPr>
      <w:r w:rsidRPr="008340F9">
        <w:rPr>
          <w:szCs w:val="20"/>
        </w:rPr>
        <w:t xml:space="preserve">MBS item number statistics indicate that last year 1.7 million Australians were tested for HDL-cholesterol (MBS 66536) and 800,000 for triglycerides/total cholesterol (MBS 66500).  It is estimated that 5-10% would need apoB testing. It is recognised that MBS statistics do not capture all triglycerides/total cholesterol test numbers due to coning or aggregation into a group of tests. However, based on the current HDL-cholesterol statistics, the upper limit estimation would suggest a population of approximately 170,000 for apoB testing. </w:t>
      </w:r>
    </w:p>
    <w:p w:rsidR="006C74B1" w:rsidRPr="008340F9" w:rsidRDefault="008340F9" w:rsidP="008340F9">
      <w:pPr>
        <w:ind w:left="426"/>
        <w:rPr>
          <w:i/>
          <w:szCs w:val="20"/>
        </w:rPr>
      </w:pPr>
      <w:r w:rsidRPr="008340F9">
        <w:rPr>
          <w:i/>
          <w:szCs w:val="20"/>
        </w:rPr>
        <w:t xml:space="preserve">*Source: Australian Bureau of Statistics and Medicare </w:t>
      </w:r>
      <w:r>
        <w:rPr>
          <w:i/>
          <w:szCs w:val="20"/>
        </w:rPr>
        <w:t>S</w:t>
      </w:r>
      <w:r w:rsidRPr="008340F9">
        <w:rPr>
          <w:i/>
          <w:szCs w:val="20"/>
        </w:rPr>
        <w:t>tatistics.</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8340F9" w:rsidRPr="008340F9" w:rsidRDefault="008340F9" w:rsidP="008340F9">
      <w:pPr>
        <w:ind w:left="426"/>
        <w:rPr>
          <w:szCs w:val="20"/>
        </w:rPr>
      </w:pPr>
      <w:r w:rsidRPr="008340F9">
        <w:rPr>
          <w:szCs w:val="20"/>
        </w:rPr>
        <w:t xml:space="preserve">Once </w:t>
      </w:r>
    </w:p>
    <w:p w:rsidR="00382407" w:rsidRPr="00154B00" w:rsidRDefault="008340F9" w:rsidP="008340F9">
      <w:pPr>
        <w:ind w:left="426"/>
        <w:rPr>
          <w:szCs w:val="20"/>
        </w:rPr>
      </w:pPr>
      <w:r w:rsidRPr="008340F9">
        <w:rPr>
          <w:szCs w:val="20"/>
        </w:rPr>
        <w:t>On average patients are tested and follow up could be managed with Total cholesterol/triglycerides and/or HDL-cholesterol testing. Occasional retesting of apoB may be required.</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8340F9" w:rsidRPr="008340F9" w:rsidRDefault="008340F9" w:rsidP="008340F9">
      <w:pPr>
        <w:ind w:left="426"/>
        <w:rPr>
          <w:szCs w:val="20"/>
        </w:rPr>
      </w:pPr>
      <w:r w:rsidRPr="008340F9">
        <w:rPr>
          <w:szCs w:val="20"/>
        </w:rPr>
        <w:t xml:space="preserve">One </w:t>
      </w:r>
    </w:p>
    <w:p w:rsidR="00382407" w:rsidRPr="008340F9" w:rsidRDefault="008340F9" w:rsidP="008340F9">
      <w:pPr>
        <w:ind w:left="426"/>
        <w:rPr>
          <w:szCs w:val="20"/>
        </w:rPr>
      </w:pPr>
      <w:r w:rsidRPr="008340F9">
        <w:rPr>
          <w:szCs w:val="20"/>
        </w:rPr>
        <w:t>On average patients are tested once, but occasional re-testing may be required.</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8340F9" w:rsidP="00AE1188">
      <w:pPr>
        <w:ind w:left="426"/>
        <w:rPr>
          <w:szCs w:val="20"/>
        </w:rPr>
      </w:pPr>
      <w:r w:rsidRPr="008340F9">
        <w:rPr>
          <w:szCs w:val="20"/>
        </w:rPr>
        <w:t>170,000</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8340F9" w:rsidRPr="008340F9" w:rsidRDefault="008340F9" w:rsidP="008340F9">
      <w:pPr>
        <w:ind w:left="426"/>
        <w:rPr>
          <w:szCs w:val="20"/>
        </w:rPr>
      </w:pPr>
      <w:r w:rsidRPr="008340F9">
        <w:rPr>
          <w:szCs w:val="20"/>
        </w:rPr>
        <w:t xml:space="preserve">Uptake in the next three years could result in all of the at-risk population using the test in diagnosis. This could be projected at 10% of 2.5 million patients with hypertriglyceridaemia i.e. 250,000. </w:t>
      </w:r>
    </w:p>
    <w:p w:rsidR="001B171D" w:rsidRPr="00154B00" w:rsidRDefault="008340F9" w:rsidP="008340F9">
      <w:pPr>
        <w:ind w:left="426"/>
        <w:rPr>
          <w:szCs w:val="20"/>
        </w:rPr>
      </w:pPr>
      <w:r w:rsidRPr="008340F9">
        <w:rPr>
          <w:szCs w:val="20"/>
        </w:rPr>
        <w:t>Leakage to populations not targeted by the service would be restricted by the item descriptor.</w:t>
      </w:r>
    </w:p>
    <w:p w:rsidR="003433D1" w:rsidRDefault="003433D1">
      <w:pPr>
        <w:rPr>
          <w:b/>
          <w:sz w:val="32"/>
          <w:szCs w:val="32"/>
        </w:rPr>
      </w:pPr>
      <w:r>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8340F9" w:rsidRDefault="008340F9" w:rsidP="008340F9">
      <w:pPr>
        <w:spacing w:before="0" w:after="0"/>
        <w:rPr>
          <w:szCs w:val="20"/>
        </w:rPr>
      </w:pPr>
      <w:r>
        <w:rPr>
          <w:szCs w:val="20"/>
        </w:rPr>
        <w:t>ApoB testing</w:t>
      </w:r>
      <w:r w:rsidRPr="00896F54">
        <w:rPr>
          <w:szCs w:val="20"/>
        </w:rPr>
        <w:t xml:space="preserve"> is likely to cost</w:t>
      </w:r>
      <w:r>
        <w:rPr>
          <w:szCs w:val="20"/>
        </w:rPr>
        <w:t xml:space="preserve"> $15 to perform</w:t>
      </w:r>
    </w:p>
    <w:p w:rsidR="008340F9" w:rsidRDefault="008340F9" w:rsidP="008340F9">
      <w:pPr>
        <w:spacing w:before="0" w:after="0"/>
        <w:rPr>
          <w:szCs w:val="20"/>
        </w:rPr>
      </w:pPr>
    </w:p>
    <w:tbl>
      <w:tblPr>
        <w:tblW w:w="0" w:type="auto"/>
        <w:tblInd w:w="198" w:type="dxa"/>
        <w:tblLook w:val="04A0" w:firstRow="1" w:lastRow="0" w:firstColumn="1" w:lastColumn="0" w:noHBand="0" w:noVBand="1"/>
        <w:tblCaption w:val="Cost Information"/>
        <w:tblDescription w:val="Cost of providing the proposed medical service"/>
      </w:tblPr>
      <w:tblGrid>
        <w:gridCol w:w="5291"/>
        <w:gridCol w:w="2222"/>
      </w:tblGrid>
      <w:tr w:rsidR="008340F9" w:rsidRPr="0019062C" w:rsidTr="00790ECF">
        <w:tc>
          <w:tcPr>
            <w:tcW w:w="5291" w:type="dxa"/>
            <w:tcBorders>
              <w:top w:val="single" w:sz="4" w:space="0" w:color="auto"/>
              <w:left w:val="single" w:sz="4" w:space="0" w:color="auto"/>
              <w:bottom w:val="single" w:sz="4" w:space="0" w:color="auto"/>
              <w:right w:val="single" w:sz="4" w:space="0" w:color="auto"/>
            </w:tcBorders>
          </w:tcPr>
          <w:p w:rsidR="008340F9" w:rsidRPr="0019062C" w:rsidRDefault="008340F9" w:rsidP="008340F9">
            <w:pPr>
              <w:spacing w:before="0" w:after="0"/>
              <w:rPr>
                <w:b/>
              </w:rPr>
            </w:pPr>
            <w:r w:rsidRPr="0019062C">
              <w:rPr>
                <w:b/>
              </w:rPr>
              <w:t>Equipment and resources</w:t>
            </w:r>
          </w:p>
        </w:tc>
        <w:tc>
          <w:tcPr>
            <w:tcW w:w="2222" w:type="dxa"/>
            <w:tcBorders>
              <w:top w:val="single" w:sz="4" w:space="0" w:color="auto"/>
              <w:left w:val="single" w:sz="4" w:space="0" w:color="auto"/>
              <w:bottom w:val="single" w:sz="4" w:space="0" w:color="auto"/>
              <w:right w:val="single" w:sz="4" w:space="0" w:color="auto"/>
            </w:tcBorders>
          </w:tcPr>
          <w:p w:rsidR="008340F9" w:rsidRPr="0019062C" w:rsidRDefault="008340F9" w:rsidP="008340F9">
            <w:pPr>
              <w:spacing w:before="0" w:after="0"/>
              <w:jc w:val="center"/>
              <w:rPr>
                <w:b/>
              </w:rPr>
            </w:pPr>
            <w:r w:rsidRPr="0019062C">
              <w:rPr>
                <w:b/>
              </w:rPr>
              <w:t xml:space="preserve">Per </w:t>
            </w:r>
            <w:r>
              <w:rPr>
                <w:b/>
              </w:rPr>
              <w:t>test</w:t>
            </w:r>
          </w:p>
        </w:tc>
      </w:tr>
      <w:tr w:rsidR="008340F9" w:rsidTr="00790ECF">
        <w:tc>
          <w:tcPr>
            <w:tcW w:w="5291" w:type="dxa"/>
            <w:tcBorders>
              <w:top w:val="single" w:sz="4" w:space="0" w:color="auto"/>
              <w:left w:val="single" w:sz="4" w:space="0" w:color="auto"/>
              <w:bottom w:val="single" w:sz="4" w:space="0" w:color="auto"/>
              <w:right w:val="single" w:sz="4" w:space="0" w:color="auto"/>
            </w:tcBorders>
          </w:tcPr>
          <w:p w:rsidR="008340F9" w:rsidRPr="00DC2117" w:rsidRDefault="008340F9" w:rsidP="008340F9">
            <w:pPr>
              <w:spacing w:before="0" w:after="0"/>
            </w:pPr>
            <w:r>
              <w:t>Kit, probes, reagents, ancillary reagents</w:t>
            </w:r>
          </w:p>
        </w:tc>
        <w:tc>
          <w:tcPr>
            <w:tcW w:w="2222" w:type="dxa"/>
            <w:tcBorders>
              <w:top w:val="single" w:sz="4" w:space="0" w:color="auto"/>
              <w:left w:val="single" w:sz="4" w:space="0" w:color="auto"/>
              <w:bottom w:val="single" w:sz="4" w:space="0" w:color="auto"/>
              <w:right w:val="single" w:sz="4" w:space="0" w:color="auto"/>
            </w:tcBorders>
          </w:tcPr>
          <w:p w:rsidR="008340F9" w:rsidRDefault="008340F9" w:rsidP="008340F9">
            <w:pPr>
              <w:tabs>
                <w:tab w:val="left" w:pos="0"/>
              </w:tabs>
              <w:spacing w:before="0" w:after="0"/>
              <w:ind w:right="317"/>
              <w:jc w:val="right"/>
            </w:pPr>
            <w:r w:rsidRPr="0019470C">
              <w:t>4.00</w:t>
            </w:r>
          </w:p>
        </w:tc>
      </w:tr>
      <w:tr w:rsidR="008340F9" w:rsidTr="00790ECF">
        <w:tc>
          <w:tcPr>
            <w:tcW w:w="5291"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pPr>
            <w:r>
              <w:t xml:space="preserve">Labour medical (consultant pathologist) </w:t>
            </w:r>
          </w:p>
        </w:tc>
        <w:tc>
          <w:tcPr>
            <w:tcW w:w="2222"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ind w:right="341"/>
              <w:jc w:val="right"/>
            </w:pPr>
            <w:r>
              <w:t>2.00</w:t>
            </w:r>
          </w:p>
        </w:tc>
      </w:tr>
      <w:tr w:rsidR="008340F9" w:rsidTr="00790ECF">
        <w:tc>
          <w:tcPr>
            <w:tcW w:w="5291"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pPr>
            <w:r>
              <w:t xml:space="preserve">Labour scientific </w:t>
            </w:r>
          </w:p>
        </w:tc>
        <w:tc>
          <w:tcPr>
            <w:tcW w:w="2222"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ind w:right="341"/>
              <w:jc w:val="right"/>
            </w:pPr>
            <w:r>
              <w:t>3.00</w:t>
            </w:r>
          </w:p>
        </w:tc>
      </w:tr>
      <w:tr w:rsidR="008340F9" w:rsidTr="00790ECF">
        <w:tc>
          <w:tcPr>
            <w:tcW w:w="5291"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pPr>
            <w:r>
              <w:t>Labour on costs</w:t>
            </w:r>
          </w:p>
        </w:tc>
        <w:tc>
          <w:tcPr>
            <w:tcW w:w="2222"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ind w:right="341"/>
              <w:jc w:val="right"/>
            </w:pPr>
            <w:r>
              <w:t>2.00</w:t>
            </w:r>
          </w:p>
        </w:tc>
      </w:tr>
      <w:tr w:rsidR="008340F9" w:rsidTr="00790ECF">
        <w:tc>
          <w:tcPr>
            <w:tcW w:w="5291"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pPr>
            <w:r>
              <w:t>Depreciation, overheads</w:t>
            </w:r>
          </w:p>
        </w:tc>
        <w:tc>
          <w:tcPr>
            <w:tcW w:w="2222"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ind w:right="341"/>
              <w:jc w:val="right"/>
            </w:pPr>
            <w:r>
              <w:t>1.00</w:t>
            </w:r>
          </w:p>
        </w:tc>
      </w:tr>
      <w:tr w:rsidR="008340F9" w:rsidTr="00790ECF">
        <w:tc>
          <w:tcPr>
            <w:tcW w:w="5291"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pPr>
            <w:r>
              <w:t>Admin, IT</w:t>
            </w:r>
          </w:p>
        </w:tc>
        <w:tc>
          <w:tcPr>
            <w:tcW w:w="2222" w:type="dxa"/>
            <w:tcBorders>
              <w:top w:val="single" w:sz="4" w:space="0" w:color="auto"/>
              <w:left w:val="single" w:sz="4" w:space="0" w:color="auto"/>
              <w:bottom w:val="single" w:sz="4" w:space="0" w:color="auto"/>
              <w:right w:val="single" w:sz="4" w:space="0" w:color="auto"/>
            </w:tcBorders>
          </w:tcPr>
          <w:p w:rsidR="008340F9" w:rsidRDefault="008340F9" w:rsidP="008340F9">
            <w:pPr>
              <w:spacing w:before="0" w:after="0"/>
              <w:ind w:right="341"/>
              <w:jc w:val="right"/>
            </w:pPr>
            <w:r>
              <w:t>3.00</w:t>
            </w:r>
          </w:p>
        </w:tc>
      </w:tr>
      <w:tr w:rsidR="008340F9" w:rsidRPr="0067009A" w:rsidTr="00790ECF">
        <w:tc>
          <w:tcPr>
            <w:tcW w:w="5291" w:type="dxa"/>
            <w:tcBorders>
              <w:top w:val="single" w:sz="4" w:space="0" w:color="auto"/>
              <w:left w:val="single" w:sz="4" w:space="0" w:color="auto"/>
              <w:bottom w:val="single" w:sz="4" w:space="0" w:color="auto"/>
              <w:right w:val="single" w:sz="4" w:space="0" w:color="auto"/>
            </w:tcBorders>
          </w:tcPr>
          <w:p w:rsidR="008340F9" w:rsidRPr="0067009A" w:rsidRDefault="008340F9" w:rsidP="008340F9">
            <w:pPr>
              <w:spacing w:before="0" w:after="0"/>
              <w:rPr>
                <w:b/>
              </w:rPr>
            </w:pPr>
            <w:r w:rsidRPr="0067009A">
              <w:rPr>
                <w:b/>
              </w:rPr>
              <w:t>Total</w:t>
            </w:r>
          </w:p>
        </w:tc>
        <w:tc>
          <w:tcPr>
            <w:tcW w:w="2222" w:type="dxa"/>
            <w:tcBorders>
              <w:top w:val="single" w:sz="4" w:space="0" w:color="auto"/>
              <w:left w:val="single" w:sz="4" w:space="0" w:color="auto"/>
              <w:bottom w:val="single" w:sz="4" w:space="0" w:color="auto"/>
              <w:right w:val="single" w:sz="4" w:space="0" w:color="auto"/>
            </w:tcBorders>
          </w:tcPr>
          <w:p w:rsidR="008340F9" w:rsidRPr="0067009A" w:rsidRDefault="008340F9" w:rsidP="008340F9">
            <w:pPr>
              <w:spacing w:before="0" w:after="0"/>
              <w:ind w:right="341"/>
              <w:jc w:val="right"/>
              <w:rPr>
                <w:b/>
              </w:rPr>
            </w:pPr>
            <w:r>
              <w:rPr>
                <w:b/>
              </w:rPr>
              <w:t>$15.00</w:t>
            </w:r>
          </w:p>
        </w:tc>
      </w:tr>
    </w:tbl>
    <w:p w:rsidR="00951933" w:rsidRPr="00154B00" w:rsidRDefault="00951933" w:rsidP="008340F9">
      <w:pPr>
        <w:spacing w:before="0" w:after="0"/>
        <w:ind w:left="426"/>
        <w:rPr>
          <w:szCs w:val="20"/>
        </w:rPr>
      </w:pP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Pr="008340F9" w:rsidRDefault="008340F9" w:rsidP="00AE1188">
      <w:pPr>
        <w:ind w:left="426"/>
        <w:rPr>
          <w:szCs w:val="20"/>
        </w:rPr>
      </w:pPr>
      <w:r w:rsidRPr="008340F9">
        <w:rPr>
          <w:szCs w:val="20"/>
        </w:rPr>
        <w:t>On arrival in lab, less than 24 h</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w:t>
      </w:r>
      <w:bookmarkStart w:id="4" w:name="_GoBack"/>
      <w:bookmarkEnd w:id="4"/>
      <w:r>
        <w:t>MBS funding.</w:t>
      </w:r>
    </w:p>
    <w:p w:rsidR="008340F9" w:rsidRDefault="00963D07" w:rsidP="008A27F7">
      <w:pPr>
        <w:tabs>
          <w:tab w:val="left" w:pos="4536"/>
        </w:tabs>
        <w:ind w:left="360"/>
      </w:pPr>
      <w:r>
        <w:t>Cost ($15 plus $2 margin)</w:t>
      </w:r>
    </w:p>
    <w:p w:rsidR="002B0957" w:rsidRDefault="002B0957" w:rsidP="008A27F7">
      <w:pPr>
        <w:tabs>
          <w:tab w:val="left" w:pos="4536"/>
        </w:tabs>
        <w:ind w:left="360"/>
      </w:pPr>
    </w:p>
    <w:tbl>
      <w:tblPr>
        <w:tblStyle w:val="TableGrid1"/>
        <w:tblW w:w="0" w:type="auto"/>
        <w:tblInd w:w="392" w:type="dxa"/>
        <w:tblLook w:val="04A0" w:firstRow="1" w:lastRow="0" w:firstColumn="1" w:lastColumn="0" w:noHBand="0" w:noVBand="1"/>
        <w:tblCaption w:val="Category: proposed category number &amp; proposed category description"/>
        <w:tblDescription w:val="As above"/>
      </w:tblPr>
      <w:tblGrid>
        <w:gridCol w:w="8850"/>
      </w:tblGrid>
      <w:tr w:rsidR="002B0957" w:rsidRPr="002B0957" w:rsidTr="00F97A26">
        <w:tc>
          <w:tcPr>
            <w:tcW w:w="8850" w:type="dxa"/>
          </w:tcPr>
          <w:p w:rsidR="002B0957" w:rsidRPr="002B0957" w:rsidRDefault="002B0957" w:rsidP="002B0957">
            <w:pPr>
              <w:spacing w:before="0" w:after="0"/>
              <w:jc w:val="right"/>
              <w:rPr>
                <w:rFonts w:asciiTheme="minorHAnsi" w:hAnsiTheme="minorHAnsi"/>
                <w:szCs w:val="20"/>
              </w:rPr>
            </w:pPr>
            <w:bookmarkStart w:id="5" w:name="_Hlk503874209"/>
            <w:r w:rsidRPr="002B0957">
              <w:rPr>
                <w:rFonts w:asciiTheme="minorHAnsi" w:hAnsiTheme="minorHAnsi"/>
                <w:szCs w:val="20"/>
              </w:rPr>
              <w:t>Category (proposed category number) – (proposed category description)</w:t>
            </w:r>
          </w:p>
        </w:tc>
      </w:tr>
      <w:tr w:rsidR="002B0957" w:rsidRPr="002B0957" w:rsidTr="00F97A26">
        <w:tc>
          <w:tcPr>
            <w:tcW w:w="8850" w:type="dxa"/>
          </w:tcPr>
          <w:p w:rsidR="002B0957" w:rsidRPr="002B0957" w:rsidRDefault="002B0957" w:rsidP="002B0957">
            <w:pPr>
              <w:spacing w:before="0" w:after="0"/>
              <w:rPr>
                <w:rFonts w:asciiTheme="minorHAnsi" w:hAnsiTheme="minorHAnsi"/>
                <w:szCs w:val="20"/>
              </w:rPr>
            </w:pPr>
            <w:r w:rsidRPr="002B0957">
              <w:rPr>
                <w:rFonts w:asciiTheme="minorHAnsi" w:hAnsiTheme="minorHAnsi"/>
                <w:szCs w:val="20"/>
              </w:rPr>
              <w:t>Proposed item descriptor</w:t>
            </w:r>
          </w:p>
          <w:p w:rsidR="002B0957" w:rsidRPr="002B0957" w:rsidRDefault="002B0957" w:rsidP="002B0957">
            <w:pPr>
              <w:spacing w:before="0" w:after="0"/>
              <w:rPr>
                <w:rFonts w:asciiTheme="minorHAnsi" w:hAnsiTheme="minorHAnsi"/>
                <w:szCs w:val="20"/>
              </w:rPr>
            </w:pPr>
          </w:p>
          <w:p w:rsidR="002B0957" w:rsidRPr="002B0957" w:rsidRDefault="002B0957" w:rsidP="002B0957">
            <w:pPr>
              <w:spacing w:before="0" w:after="0"/>
              <w:rPr>
                <w:rFonts w:asciiTheme="minorHAnsi" w:hAnsiTheme="minorHAnsi"/>
                <w:szCs w:val="20"/>
              </w:rPr>
            </w:pPr>
            <w:r w:rsidRPr="002B0957">
              <w:rPr>
                <w:rFonts w:asciiTheme="minorHAnsi" w:hAnsiTheme="minorHAnsi"/>
                <w:szCs w:val="20"/>
              </w:rPr>
              <w:t xml:space="preserve">Quantitation of apoB in patients with </w:t>
            </w:r>
          </w:p>
          <w:p w:rsidR="002B0957" w:rsidRPr="002B0957" w:rsidRDefault="002B0957" w:rsidP="002B0957">
            <w:pPr>
              <w:spacing w:before="0" w:after="0"/>
              <w:ind w:left="720"/>
              <w:rPr>
                <w:rFonts w:asciiTheme="minorHAnsi" w:hAnsiTheme="minorHAnsi"/>
                <w:szCs w:val="20"/>
              </w:rPr>
            </w:pPr>
            <w:r w:rsidRPr="002B0957">
              <w:rPr>
                <w:rFonts w:asciiTheme="minorHAnsi" w:hAnsiTheme="minorHAnsi"/>
                <w:szCs w:val="20"/>
              </w:rPr>
              <w:t>Triglycerides ≥3 mmol/L AND &lt;10 mmol/L</w:t>
            </w:r>
            <w:r w:rsidR="00572C0A">
              <w:rPr>
                <w:rFonts w:asciiTheme="minorHAnsi" w:hAnsiTheme="minorHAnsi"/>
                <w:szCs w:val="20"/>
              </w:rPr>
              <w:t xml:space="preserve">4 </w:t>
            </w:r>
          </w:p>
          <w:p w:rsidR="002B0957" w:rsidRPr="002B0957" w:rsidRDefault="002B0957" w:rsidP="002B0957">
            <w:pPr>
              <w:spacing w:before="0" w:after="0"/>
              <w:ind w:left="720"/>
              <w:rPr>
                <w:rFonts w:asciiTheme="minorHAnsi" w:hAnsiTheme="minorHAnsi"/>
                <w:szCs w:val="20"/>
              </w:rPr>
            </w:pPr>
            <w:r w:rsidRPr="002B0957">
              <w:rPr>
                <w:rFonts w:asciiTheme="minorHAnsi" w:hAnsiTheme="minorHAnsi"/>
                <w:szCs w:val="20"/>
              </w:rPr>
              <w:t xml:space="preserve">OR </w:t>
            </w:r>
          </w:p>
          <w:p w:rsidR="002B0957" w:rsidRPr="002B0957" w:rsidRDefault="002B0957" w:rsidP="002B0957">
            <w:pPr>
              <w:spacing w:before="0" w:after="0"/>
              <w:ind w:left="720"/>
              <w:rPr>
                <w:rFonts w:asciiTheme="minorHAnsi" w:hAnsiTheme="minorHAnsi"/>
                <w:szCs w:val="20"/>
              </w:rPr>
            </w:pPr>
            <w:r w:rsidRPr="002B0957">
              <w:rPr>
                <w:rFonts w:asciiTheme="minorHAnsi" w:hAnsiTheme="minorHAnsi"/>
                <w:szCs w:val="20"/>
              </w:rPr>
              <w:t>Total cholesterol &gt;7.5 mmol/L AND clinical evidence of cholestatic liver disease</w:t>
            </w:r>
          </w:p>
          <w:p w:rsidR="002B0957" w:rsidRPr="002B0957" w:rsidRDefault="002B0957" w:rsidP="002B0957">
            <w:pPr>
              <w:spacing w:before="0" w:after="0"/>
              <w:rPr>
                <w:rFonts w:asciiTheme="minorHAnsi" w:hAnsiTheme="minorHAnsi"/>
                <w:szCs w:val="20"/>
              </w:rPr>
            </w:pPr>
          </w:p>
          <w:p w:rsidR="002B0957" w:rsidRPr="002B0957" w:rsidRDefault="002B0957" w:rsidP="002B0957">
            <w:pPr>
              <w:spacing w:before="0" w:after="0"/>
              <w:rPr>
                <w:rFonts w:asciiTheme="minorHAnsi" w:hAnsiTheme="minorHAnsi"/>
                <w:szCs w:val="20"/>
              </w:rPr>
            </w:pPr>
            <w:r w:rsidRPr="002B0957">
              <w:rPr>
                <w:rFonts w:asciiTheme="minorHAnsi" w:hAnsiTheme="minorHAnsi"/>
                <w:szCs w:val="20"/>
              </w:rPr>
              <w:t>Fee:  $17</w:t>
            </w:r>
          </w:p>
        </w:tc>
      </w:tr>
      <w:bookmarkEnd w:id="5"/>
    </w:tbl>
    <w:p w:rsidR="00484DC2" w:rsidRDefault="00484DC2" w:rsidP="00AE1188">
      <w:pPr>
        <w:pStyle w:val="Heading1"/>
        <w:sectPr w:rsidR="00484DC2" w:rsidSect="00DD308E">
          <w:footerReference w:type="default" r:id="rId28"/>
          <w:pgSz w:w="11906" w:h="16838"/>
          <w:pgMar w:top="1440" w:right="1440" w:bottom="1440" w:left="1440" w:header="708" w:footer="708" w:gutter="0"/>
          <w:cols w:space="708"/>
          <w:docGrid w:linePitch="360"/>
        </w:sectPr>
      </w:pP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572C0A" w:rsidP="00603D04">
      <w:pPr>
        <w:ind w:left="426"/>
        <w:rPr>
          <w:szCs w:val="20"/>
        </w:rPr>
      </w:pPr>
      <w:r>
        <w:t>4 hours</w:t>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03EE6">
        <w:rPr>
          <w:szCs w:val="20"/>
        </w:rPr>
      </w:r>
      <w:r w:rsidR="00603EE6">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8340F9"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3EE6">
        <w:rPr>
          <w:szCs w:val="20"/>
        </w:rPr>
      </w:r>
      <w:r w:rsidR="00603EE6">
        <w:rPr>
          <w:szCs w:val="20"/>
        </w:rPr>
        <w:fldChar w:fldCharType="separate"/>
      </w:r>
      <w:r>
        <w:rPr>
          <w:szCs w:val="20"/>
        </w:rPr>
        <w:fldChar w:fldCharType="end"/>
      </w:r>
      <w:r w:rsidR="00603D04" w:rsidRPr="001B29A1">
        <w:rPr>
          <w:szCs w:val="20"/>
        </w:rPr>
        <w:t xml:space="preserve"> </w:t>
      </w:r>
      <w:r w:rsidR="00603D04">
        <w:rPr>
          <w:szCs w:val="20"/>
        </w:rPr>
        <w:t>No</w:t>
      </w:r>
    </w:p>
    <w:p w:rsidR="003D6DE1" w:rsidRPr="00154B00" w:rsidRDefault="00603D04" w:rsidP="001B5169">
      <w:pPr>
        <w:pStyle w:val="Heading2"/>
        <w:numPr>
          <w:ilvl w:val="0"/>
          <w:numId w:val="31"/>
        </w:numPr>
      </w:pPr>
      <w:r>
        <w:t>If no, provide areas of concern:</w:t>
      </w:r>
    </w:p>
    <w:p w:rsidR="008340F9" w:rsidRDefault="008340F9" w:rsidP="008340F9">
      <w:pPr>
        <w:rPr>
          <w:szCs w:val="20"/>
        </w:rPr>
      </w:pPr>
      <w:r>
        <w:rPr>
          <w:szCs w:val="20"/>
        </w:rPr>
        <w:t>There is no orderly flow of some questions.</w:t>
      </w:r>
    </w:p>
    <w:p w:rsidR="008340F9" w:rsidRDefault="008340F9" w:rsidP="008340F9">
      <w:pPr>
        <w:rPr>
          <w:szCs w:val="20"/>
        </w:rPr>
      </w:pPr>
      <w:r>
        <w:rPr>
          <w:szCs w:val="20"/>
        </w:rPr>
        <w:t>As examples:</w:t>
      </w:r>
    </w:p>
    <w:p w:rsidR="008340F9" w:rsidRDefault="008340F9" w:rsidP="008340F9">
      <w:pPr>
        <w:rPr>
          <w:szCs w:val="20"/>
        </w:rPr>
      </w:pPr>
      <w:r>
        <w:rPr>
          <w:szCs w:val="20"/>
        </w:rPr>
        <w:t>Responses to Q9 could be re-stated as:</w:t>
      </w:r>
    </w:p>
    <w:p w:rsidR="008340F9" w:rsidRPr="00722023" w:rsidRDefault="008340F9" w:rsidP="008340F9">
      <w:pPr>
        <w:spacing w:before="0" w:after="0"/>
        <w:ind w:left="284"/>
        <w:rPr>
          <w:b/>
        </w:rPr>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 xml:space="preserve">Pharmaceutical / Biological </w:t>
      </w:r>
      <w:r w:rsidRPr="00722023">
        <w:rPr>
          <w:b/>
        </w:rPr>
        <w:t>(Go to Q10)</w:t>
      </w:r>
    </w:p>
    <w:p w:rsidR="008340F9" w:rsidRDefault="008340F9" w:rsidP="008340F9">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03EE6">
        <w:rPr>
          <w:b/>
          <w:szCs w:val="20"/>
        </w:rPr>
      </w:r>
      <w:r w:rsidR="00603EE6">
        <w:rPr>
          <w:b/>
          <w:szCs w:val="20"/>
        </w:rPr>
        <w:fldChar w:fldCharType="separate"/>
      </w:r>
      <w:r w:rsidRPr="0027105F">
        <w:rPr>
          <w:b/>
          <w:szCs w:val="20"/>
        </w:rPr>
        <w:fldChar w:fldCharType="end"/>
      </w:r>
      <w:r w:rsidRPr="0027105F">
        <w:rPr>
          <w:b/>
          <w:szCs w:val="20"/>
        </w:rPr>
        <w:t xml:space="preserve"> </w:t>
      </w:r>
      <w:r>
        <w:t xml:space="preserve">Prosthesis or device </w:t>
      </w:r>
      <w:r w:rsidRPr="00722023">
        <w:rPr>
          <w:b/>
        </w:rPr>
        <w:t>(Go to Q11)</w:t>
      </w:r>
    </w:p>
    <w:p w:rsidR="008340F9" w:rsidRPr="00FE16C1" w:rsidRDefault="008340F9" w:rsidP="008340F9">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603EE6">
        <w:rPr>
          <w:b/>
          <w:szCs w:val="20"/>
        </w:rPr>
      </w:r>
      <w:r w:rsidR="00603EE6">
        <w:rPr>
          <w:b/>
          <w:szCs w:val="20"/>
        </w:rPr>
        <w:fldChar w:fldCharType="separate"/>
      </w:r>
      <w:r>
        <w:rPr>
          <w:b/>
          <w:szCs w:val="20"/>
        </w:rPr>
        <w:fldChar w:fldCharType="end"/>
      </w:r>
      <w:r w:rsidRPr="0027105F">
        <w:rPr>
          <w:b/>
          <w:szCs w:val="20"/>
        </w:rPr>
        <w:t xml:space="preserve"> </w:t>
      </w:r>
      <w:r>
        <w:t xml:space="preserve">No </w:t>
      </w:r>
      <w:r w:rsidRPr="00722023">
        <w:rPr>
          <w:b/>
        </w:rPr>
        <w:t>(Go to Q12)</w:t>
      </w:r>
    </w:p>
    <w:p w:rsidR="008340F9" w:rsidRDefault="008340F9" w:rsidP="008340F9">
      <w:pPr>
        <w:rPr>
          <w:szCs w:val="20"/>
        </w:rPr>
      </w:pPr>
      <w:r>
        <w:rPr>
          <w:szCs w:val="20"/>
        </w:rPr>
        <w:t xml:space="preserve">Q15 is written as if it is a new question and should be answered when this is related to </w:t>
      </w:r>
      <w:proofErr w:type="gramStart"/>
      <w:r>
        <w:rPr>
          <w:szCs w:val="20"/>
        </w:rPr>
        <w:t>Q14(</w:t>
      </w:r>
      <w:proofErr w:type="gramEnd"/>
      <w:r>
        <w:rPr>
          <w:szCs w:val="20"/>
        </w:rPr>
        <w:t>b). It could be re-numbered as 14(c).</w:t>
      </w: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03EE6">
        <w:rPr>
          <w:szCs w:val="20"/>
        </w:rPr>
      </w:r>
      <w:r w:rsidR="00603EE6">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03EE6">
        <w:rPr>
          <w:szCs w:val="20"/>
        </w:rPr>
      </w:r>
      <w:r w:rsidR="00603EE6">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1B5169">
      <w:pPr>
        <w:pStyle w:val="Heading2"/>
        <w:numPr>
          <w:ilvl w:val="0"/>
          <w:numId w:val="32"/>
        </w:numPr>
      </w:pPr>
      <w:r>
        <w:t>If no, what areas did you find not to be useful?</w:t>
      </w:r>
    </w:p>
    <w:p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03EE6">
        <w:rPr>
          <w:szCs w:val="20"/>
        </w:rPr>
      </w:r>
      <w:r w:rsidR="00603EE6">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03EE6">
        <w:rPr>
          <w:szCs w:val="20"/>
        </w:rPr>
      </w:r>
      <w:r w:rsidR="00603EE6">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rsidR="00451840" w:rsidRDefault="008340F9" w:rsidP="00603D04">
      <w:pPr>
        <w:ind w:left="426"/>
        <w:rPr>
          <w:szCs w:val="20"/>
        </w:rPr>
      </w:pPr>
      <w:r w:rsidRPr="008340F9">
        <w:rPr>
          <w:szCs w:val="20"/>
        </w:rPr>
        <w:t>The form could be better tailored for Pathology items that are not technology-specific (i.e. not a single TGA product) and already have established rules in the MBS (Approved Pathology Practitioners; accredited laboratories; referrals by registered medical practitioners).</w:t>
      </w:r>
    </w:p>
    <w:p w:rsidR="00FD0603" w:rsidRDefault="00FD0603" w:rsidP="00603D04">
      <w:pPr>
        <w:ind w:left="426"/>
        <w:rPr>
          <w:szCs w:val="20"/>
        </w:rPr>
        <w:sectPr w:rsidR="00FD0603" w:rsidSect="00DD308E">
          <w:pgSz w:w="11906" w:h="16838"/>
          <w:pgMar w:top="1440" w:right="1440" w:bottom="1440" w:left="1440" w:header="708" w:footer="708" w:gutter="0"/>
          <w:cols w:space="708"/>
          <w:docGrid w:linePitch="360"/>
        </w:sectPr>
      </w:pPr>
    </w:p>
    <w:p w:rsidR="000822BC" w:rsidRDefault="000822BC" w:rsidP="000822BC">
      <w:pPr>
        <w:rPr>
          <w:b/>
        </w:rPr>
      </w:pPr>
      <w:r>
        <w:rPr>
          <w:b/>
        </w:rPr>
        <w:lastRenderedPageBreak/>
        <w:t>MSAC Application for Apolipoprotein B testing</w:t>
      </w:r>
    </w:p>
    <w:p w:rsidR="000822BC" w:rsidRDefault="000822BC" w:rsidP="000822BC">
      <w:pPr>
        <w:rPr>
          <w:b/>
        </w:rPr>
      </w:pPr>
      <w:r>
        <w:rPr>
          <w:b/>
        </w:rPr>
        <w:t>Flowcharts</w:t>
      </w:r>
    </w:p>
    <w:p w:rsidR="000822BC" w:rsidRDefault="000822BC" w:rsidP="000822BC">
      <w:pPr>
        <w:rPr>
          <w:b/>
        </w:rPr>
      </w:pPr>
      <w:r w:rsidRPr="001E26D5">
        <w:rPr>
          <w:b/>
        </w:rPr>
        <w:t>Q26 Clinical pathway before intervention</w:t>
      </w:r>
      <w:r>
        <w:rPr>
          <w:b/>
        </w:rPr>
        <w:t xml:space="preserve"> </w:t>
      </w:r>
    </w:p>
    <w:p w:rsidR="00D611DA" w:rsidRDefault="00D611DA" w:rsidP="000822BC">
      <w:pPr>
        <w:rPr>
          <w:b/>
        </w:rPr>
      </w:pPr>
    </w:p>
    <w:p w:rsidR="00D611DA" w:rsidRDefault="00D611DA" w:rsidP="000822BC">
      <w:pPr>
        <w:rPr>
          <w:b/>
        </w:rPr>
      </w:pPr>
      <w:r>
        <w:rPr>
          <w:b/>
          <w:noProof/>
          <w:lang w:eastAsia="en-AU"/>
        </w:rPr>
        <w:drawing>
          <wp:inline distT="0" distB="0" distL="0" distR="0">
            <wp:extent cx="6229350" cy="2667000"/>
            <wp:effectExtent l="0" t="0" r="0" b="0"/>
            <wp:docPr id="1" name="Picture 1" descr="Clinical pathway before intervention " title="Clinical pathway before 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9350" cy="2667000"/>
                    </a:xfrm>
                    <a:prstGeom prst="rect">
                      <a:avLst/>
                    </a:prstGeom>
                    <a:noFill/>
                    <a:ln>
                      <a:noFill/>
                    </a:ln>
                  </pic:spPr>
                </pic:pic>
              </a:graphicData>
            </a:graphic>
          </wp:inline>
        </w:drawing>
      </w:r>
    </w:p>
    <w:p w:rsidR="00BA0F17" w:rsidRDefault="00BA0F17" w:rsidP="000822BC">
      <w:pPr>
        <w:rPr>
          <w:b/>
        </w:rPr>
        <w:sectPr w:rsidR="00BA0F17" w:rsidSect="00FD0603">
          <w:pgSz w:w="16838" w:h="11906" w:orient="landscape"/>
          <w:pgMar w:top="1440" w:right="1440" w:bottom="1440" w:left="1440" w:header="708" w:footer="708" w:gutter="0"/>
          <w:cols w:space="708"/>
          <w:docGrid w:linePitch="360"/>
        </w:sectPr>
      </w:pPr>
    </w:p>
    <w:p w:rsidR="000822BC" w:rsidRDefault="000822BC" w:rsidP="000822BC">
      <w:pPr>
        <w:rPr>
          <w:b/>
        </w:rPr>
      </w:pPr>
      <w:r w:rsidRPr="00C23E12">
        <w:rPr>
          <w:b/>
        </w:rPr>
        <w:lastRenderedPageBreak/>
        <w:t xml:space="preserve">Q40 Clinical pathway </w:t>
      </w:r>
      <w:r>
        <w:rPr>
          <w:b/>
        </w:rPr>
        <w:t>after</w:t>
      </w:r>
      <w:r w:rsidRPr="00C23E12">
        <w:rPr>
          <w:b/>
        </w:rPr>
        <w:t xml:space="preserve"> comparator</w:t>
      </w:r>
      <w:r>
        <w:rPr>
          <w:b/>
        </w:rPr>
        <w:t xml:space="preserve"> (without apoB testing)</w:t>
      </w:r>
    </w:p>
    <w:p w:rsidR="00D611DA" w:rsidRDefault="00D611DA" w:rsidP="000822BC">
      <w:pPr>
        <w:rPr>
          <w:b/>
        </w:rPr>
      </w:pPr>
      <w:r>
        <w:rPr>
          <w:b/>
          <w:noProof/>
          <w:lang w:eastAsia="en-AU"/>
        </w:rPr>
        <w:drawing>
          <wp:inline distT="0" distB="0" distL="0" distR="0">
            <wp:extent cx="8858250" cy="5143500"/>
            <wp:effectExtent l="0" t="0" r="0" b="0"/>
            <wp:docPr id="17" name="Picture 17" descr="Clinical pathway after comparator (without apoB testing)" title="Clinical pathway after comparator (without apoB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0" cy="5143500"/>
                    </a:xfrm>
                    <a:prstGeom prst="rect">
                      <a:avLst/>
                    </a:prstGeom>
                    <a:noFill/>
                    <a:ln>
                      <a:noFill/>
                    </a:ln>
                  </pic:spPr>
                </pic:pic>
              </a:graphicData>
            </a:graphic>
          </wp:inline>
        </w:drawing>
      </w:r>
    </w:p>
    <w:sectPr w:rsidR="00D611DA" w:rsidSect="00FD060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26" w:rsidRDefault="00F97A26" w:rsidP="00CF2DFA">
      <w:pPr>
        <w:spacing w:after="0"/>
      </w:pPr>
      <w:r>
        <w:separator/>
      </w:r>
    </w:p>
  </w:endnote>
  <w:endnote w:type="continuationSeparator" w:id="0">
    <w:p w:rsidR="00F97A26" w:rsidRDefault="00F97A2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F97A26" w:rsidRDefault="00F97A2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03EE6" w:rsidRPr="00603EE6">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F97A26" w:rsidRPr="003F7CB9" w:rsidRDefault="00F97A26"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25087736"/>
      <w:docPartObj>
        <w:docPartGallery w:val="Page Numbers (Bottom of Page)"/>
        <w:docPartUnique/>
      </w:docPartObj>
    </w:sdtPr>
    <w:sdtEndPr>
      <w:rPr>
        <w:color w:val="808080" w:themeColor="background1" w:themeShade="80"/>
        <w:spacing w:val="60"/>
      </w:rPr>
    </w:sdtEndPr>
    <w:sdtContent>
      <w:p w:rsidR="00F97A26" w:rsidRDefault="00F97A2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03EE6" w:rsidRPr="00603EE6">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F97A26" w:rsidRPr="00CF2DFA" w:rsidRDefault="00F97A26">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rsidR="00F97A26" w:rsidRDefault="00F97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26" w:rsidRDefault="00F97A26" w:rsidP="00CF2DFA">
      <w:pPr>
        <w:spacing w:after="0"/>
      </w:pPr>
      <w:r>
        <w:separator/>
      </w:r>
    </w:p>
  </w:footnote>
  <w:footnote w:type="continuationSeparator" w:id="0">
    <w:p w:rsidR="00F97A26" w:rsidRDefault="00F97A26"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286269B3"/>
    <w:multiLevelType w:val="hybridMultilevel"/>
    <w:tmpl w:val="BDAAA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4868B4"/>
    <w:multiLevelType w:val="hybridMultilevel"/>
    <w:tmpl w:val="F612B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2EB5793"/>
    <w:multiLevelType w:val="hybridMultilevel"/>
    <w:tmpl w:val="0BEEE4E6"/>
    <w:lvl w:ilvl="0" w:tplc="0AD05248">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3"/>
  </w:num>
  <w:num w:numId="27">
    <w:abstractNumId w:val="16"/>
  </w:num>
  <w:num w:numId="28">
    <w:abstractNumId w:val="10"/>
  </w:num>
  <w:num w:numId="29">
    <w:abstractNumId w:val="20"/>
  </w:num>
  <w:num w:numId="30">
    <w:abstractNumId w:val="2"/>
  </w:num>
  <w:num w:numId="31">
    <w:abstractNumId w:val="18"/>
  </w:num>
  <w:num w:numId="32">
    <w:abstractNumId w:val="6"/>
  </w:num>
  <w:num w:numId="33">
    <w:abstractNumId w:val="17"/>
  </w:num>
  <w:num w:numId="34">
    <w:abstractNumId w:val="5"/>
  </w:num>
  <w:num w:numId="35">
    <w:abstractNumId w:val="12"/>
  </w:num>
  <w:num w:numId="36">
    <w:abstractNumId w:val="0"/>
  </w:num>
  <w:num w:numId="37">
    <w:abstractNumId w:val="8"/>
  </w:num>
  <w:num w:numId="38">
    <w:abstractNumId w:val="1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822BC"/>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673"/>
    <w:rsid w:val="00126B33"/>
    <w:rsid w:val="00154B00"/>
    <w:rsid w:val="001644E9"/>
    <w:rsid w:val="001845D9"/>
    <w:rsid w:val="0018630F"/>
    <w:rsid w:val="001906CD"/>
    <w:rsid w:val="00191B99"/>
    <w:rsid w:val="0019694B"/>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03BC"/>
    <w:rsid w:val="0022489D"/>
    <w:rsid w:val="00226777"/>
    <w:rsid w:val="00235BD1"/>
    <w:rsid w:val="00242B0E"/>
    <w:rsid w:val="00247DF0"/>
    <w:rsid w:val="00254813"/>
    <w:rsid w:val="00257FF2"/>
    <w:rsid w:val="00265822"/>
    <w:rsid w:val="0027105F"/>
    <w:rsid w:val="002711FB"/>
    <w:rsid w:val="00283318"/>
    <w:rsid w:val="00285525"/>
    <w:rsid w:val="00294CD8"/>
    <w:rsid w:val="002A270B"/>
    <w:rsid w:val="002A50FD"/>
    <w:rsid w:val="002A6753"/>
    <w:rsid w:val="002B0957"/>
    <w:rsid w:val="002B28D7"/>
    <w:rsid w:val="002B7EB6"/>
    <w:rsid w:val="002C0B61"/>
    <w:rsid w:val="002C15E6"/>
    <w:rsid w:val="002C247D"/>
    <w:rsid w:val="002C3345"/>
    <w:rsid w:val="002D409A"/>
    <w:rsid w:val="002F30E7"/>
    <w:rsid w:val="00300EEB"/>
    <w:rsid w:val="003013A9"/>
    <w:rsid w:val="003020B5"/>
    <w:rsid w:val="003027BB"/>
    <w:rsid w:val="00310A10"/>
    <w:rsid w:val="00327D25"/>
    <w:rsid w:val="003319A7"/>
    <w:rsid w:val="00334FE3"/>
    <w:rsid w:val="003417B2"/>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946"/>
    <w:rsid w:val="003F7CB9"/>
    <w:rsid w:val="00403333"/>
    <w:rsid w:val="00411735"/>
    <w:rsid w:val="00415C74"/>
    <w:rsid w:val="00423481"/>
    <w:rsid w:val="0043654D"/>
    <w:rsid w:val="00451840"/>
    <w:rsid w:val="00460C9A"/>
    <w:rsid w:val="004624AC"/>
    <w:rsid w:val="00464924"/>
    <w:rsid w:val="0047581D"/>
    <w:rsid w:val="00480289"/>
    <w:rsid w:val="00481279"/>
    <w:rsid w:val="00483368"/>
    <w:rsid w:val="00484DC2"/>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60541"/>
    <w:rsid w:val="005672D0"/>
    <w:rsid w:val="00572C0A"/>
    <w:rsid w:val="00572CEB"/>
    <w:rsid w:val="005834C9"/>
    <w:rsid w:val="005A58BA"/>
    <w:rsid w:val="005A5D30"/>
    <w:rsid w:val="005A6AB9"/>
    <w:rsid w:val="005C333E"/>
    <w:rsid w:val="005C3AE7"/>
    <w:rsid w:val="005D0677"/>
    <w:rsid w:val="005E294C"/>
    <w:rsid w:val="005E2CE3"/>
    <w:rsid w:val="005F3F07"/>
    <w:rsid w:val="00603D04"/>
    <w:rsid w:val="00603EE6"/>
    <w:rsid w:val="00606857"/>
    <w:rsid w:val="00615F42"/>
    <w:rsid w:val="00621205"/>
    <w:rsid w:val="006258C2"/>
    <w:rsid w:val="00626365"/>
    <w:rsid w:val="00630E22"/>
    <w:rsid w:val="0064168C"/>
    <w:rsid w:val="00657B46"/>
    <w:rsid w:val="006764EC"/>
    <w:rsid w:val="006835FE"/>
    <w:rsid w:val="00693BFD"/>
    <w:rsid w:val="00695065"/>
    <w:rsid w:val="006A1038"/>
    <w:rsid w:val="006A18E6"/>
    <w:rsid w:val="006A649A"/>
    <w:rsid w:val="006B1B49"/>
    <w:rsid w:val="006B6390"/>
    <w:rsid w:val="006C0356"/>
    <w:rsid w:val="006C0843"/>
    <w:rsid w:val="006C74B1"/>
    <w:rsid w:val="006D4705"/>
    <w:rsid w:val="006E57AA"/>
    <w:rsid w:val="006F20CF"/>
    <w:rsid w:val="006F38ED"/>
    <w:rsid w:val="00707D4D"/>
    <w:rsid w:val="00710DA0"/>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0ECF"/>
    <w:rsid w:val="00791C8D"/>
    <w:rsid w:val="00794181"/>
    <w:rsid w:val="007A7F6F"/>
    <w:rsid w:val="007B4C76"/>
    <w:rsid w:val="007C2260"/>
    <w:rsid w:val="007D1E52"/>
    <w:rsid w:val="007D2358"/>
    <w:rsid w:val="007E39E4"/>
    <w:rsid w:val="007E6FB3"/>
    <w:rsid w:val="007F21B4"/>
    <w:rsid w:val="00802553"/>
    <w:rsid w:val="00803EAB"/>
    <w:rsid w:val="008046B5"/>
    <w:rsid w:val="008127C0"/>
    <w:rsid w:val="00812EDD"/>
    <w:rsid w:val="008139C5"/>
    <w:rsid w:val="0081650F"/>
    <w:rsid w:val="00832B31"/>
    <w:rsid w:val="008340F9"/>
    <w:rsid w:val="00836BD3"/>
    <w:rsid w:val="008403E0"/>
    <w:rsid w:val="0084657B"/>
    <w:rsid w:val="00855944"/>
    <w:rsid w:val="00864A18"/>
    <w:rsid w:val="00870833"/>
    <w:rsid w:val="00874571"/>
    <w:rsid w:val="00881F93"/>
    <w:rsid w:val="00882CB5"/>
    <w:rsid w:val="00883641"/>
    <w:rsid w:val="00884E69"/>
    <w:rsid w:val="00890082"/>
    <w:rsid w:val="008A27F7"/>
    <w:rsid w:val="008A48D2"/>
    <w:rsid w:val="008B2610"/>
    <w:rsid w:val="008B471D"/>
    <w:rsid w:val="008B49E4"/>
    <w:rsid w:val="008B729C"/>
    <w:rsid w:val="008C4A93"/>
    <w:rsid w:val="008E0E49"/>
    <w:rsid w:val="008E35FD"/>
    <w:rsid w:val="008E6227"/>
    <w:rsid w:val="008E78B9"/>
    <w:rsid w:val="0090543D"/>
    <w:rsid w:val="009056C5"/>
    <w:rsid w:val="009062D4"/>
    <w:rsid w:val="00915D86"/>
    <w:rsid w:val="009262F2"/>
    <w:rsid w:val="00937791"/>
    <w:rsid w:val="00951933"/>
    <w:rsid w:val="00954343"/>
    <w:rsid w:val="00955271"/>
    <w:rsid w:val="009559EB"/>
    <w:rsid w:val="00963C9C"/>
    <w:rsid w:val="00963D07"/>
    <w:rsid w:val="00965B6B"/>
    <w:rsid w:val="00971EDB"/>
    <w:rsid w:val="00974D50"/>
    <w:rsid w:val="00987ABE"/>
    <w:rsid w:val="00991EE4"/>
    <w:rsid w:val="009939DC"/>
    <w:rsid w:val="00993B9C"/>
    <w:rsid w:val="009B4E1E"/>
    <w:rsid w:val="009C03FB"/>
    <w:rsid w:val="009C4B4F"/>
    <w:rsid w:val="009F0C02"/>
    <w:rsid w:val="009F5758"/>
    <w:rsid w:val="00A0283F"/>
    <w:rsid w:val="00A04F4A"/>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5965"/>
    <w:rsid w:val="00B771AD"/>
    <w:rsid w:val="00B814CB"/>
    <w:rsid w:val="00BA0CF8"/>
    <w:rsid w:val="00BA0F17"/>
    <w:rsid w:val="00BA1ADF"/>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C09D7"/>
    <w:rsid w:val="00CC12B8"/>
    <w:rsid w:val="00CD1B57"/>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57F88"/>
    <w:rsid w:val="00D611DA"/>
    <w:rsid w:val="00D7105C"/>
    <w:rsid w:val="00D73646"/>
    <w:rsid w:val="00D777B4"/>
    <w:rsid w:val="00D77A90"/>
    <w:rsid w:val="00D8360B"/>
    <w:rsid w:val="00D85676"/>
    <w:rsid w:val="00D96ADA"/>
    <w:rsid w:val="00DA2886"/>
    <w:rsid w:val="00DA5E50"/>
    <w:rsid w:val="00DA6EBA"/>
    <w:rsid w:val="00DA7D0C"/>
    <w:rsid w:val="00DB311C"/>
    <w:rsid w:val="00DB432D"/>
    <w:rsid w:val="00DB519B"/>
    <w:rsid w:val="00DC2E55"/>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620CE"/>
    <w:rsid w:val="00E70D86"/>
    <w:rsid w:val="00E7628E"/>
    <w:rsid w:val="00E82F54"/>
    <w:rsid w:val="00E8649B"/>
    <w:rsid w:val="00E871CD"/>
    <w:rsid w:val="00E90990"/>
    <w:rsid w:val="00E95D3D"/>
    <w:rsid w:val="00E97432"/>
    <w:rsid w:val="00EA0E25"/>
    <w:rsid w:val="00EA173C"/>
    <w:rsid w:val="00EA3AE0"/>
    <w:rsid w:val="00EC127A"/>
    <w:rsid w:val="00EC1FF9"/>
    <w:rsid w:val="00EC2737"/>
    <w:rsid w:val="00EE2716"/>
    <w:rsid w:val="00EE6450"/>
    <w:rsid w:val="00F01C2C"/>
    <w:rsid w:val="00F10ED8"/>
    <w:rsid w:val="00F222BE"/>
    <w:rsid w:val="00F24179"/>
    <w:rsid w:val="00F301F1"/>
    <w:rsid w:val="00F30C22"/>
    <w:rsid w:val="00F33F1A"/>
    <w:rsid w:val="00F547F7"/>
    <w:rsid w:val="00F54CCF"/>
    <w:rsid w:val="00F61D7A"/>
    <w:rsid w:val="00F637B3"/>
    <w:rsid w:val="00F66CF7"/>
    <w:rsid w:val="00F67BCB"/>
    <w:rsid w:val="00F77C57"/>
    <w:rsid w:val="00F813C7"/>
    <w:rsid w:val="00F83566"/>
    <w:rsid w:val="00F83A9D"/>
    <w:rsid w:val="00F906B5"/>
    <w:rsid w:val="00F93784"/>
    <w:rsid w:val="00F971CC"/>
    <w:rsid w:val="00F97A26"/>
    <w:rsid w:val="00FA2CAA"/>
    <w:rsid w:val="00FA3DA1"/>
    <w:rsid w:val="00FA6554"/>
    <w:rsid w:val="00FB691C"/>
    <w:rsid w:val="00FC3699"/>
    <w:rsid w:val="00FD0603"/>
    <w:rsid w:val="00FE16C1"/>
    <w:rsid w:val="00FE19FF"/>
    <w:rsid w:val="00FE2F49"/>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0822BC"/>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32C"/>
    <w:rPr>
      <w:bCs/>
      <w:color w:val="4F81BD" w:themeColor="accent1"/>
      <w:sz w:val="40"/>
      <w:szCs w:val="32"/>
    </w:rPr>
  </w:style>
  <w:style w:type="paragraph" w:styleId="ListParagraph">
    <w:name w:val="List Paragraph"/>
    <w:basedOn w:val="Normal"/>
    <w:uiPriority w:val="34"/>
    <w:qFormat/>
    <w:rsid w:val="00392F00"/>
    <w:pPr>
      <w:ind w:left="720"/>
      <w:contextualSpacing/>
    </w:pPr>
  </w:style>
  <w:style w:type="character" w:customStyle="1" w:styleId="Heading2Char">
    <w:name w:val="Heading 2 Char"/>
    <w:basedOn w:val="DefaultParagraphFont"/>
    <w:link w:val="Heading2"/>
    <w:uiPriority w:val="9"/>
    <w:rsid w:val="004A0BF4"/>
    <w:rPr>
      <w:b/>
      <w:sz w:val="20"/>
      <w:szCs w:val="20"/>
    </w:rPr>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styleId="FollowedHyperlink">
    <w:name w:val="FollowedHyperlink"/>
    <w:basedOn w:val="DefaultParagraphFont"/>
    <w:uiPriority w:val="99"/>
    <w:semiHidden/>
    <w:unhideWhenUsed/>
    <w:rsid w:val="00790ECF"/>
    <w:rPr>
      <w:color w:val="800080" w:themeColor="followedHyperlink"/>
      <w:u w:val="single"/>
    </w:rPr>
  </w:style>
  <w:style w:type="character" w:customStyle="1" w:styleId="UnresolvedMention">
    <w:name w:val="Unresolved Mention"/>
    <w:basedOn w:val="DefaultParagraphFont"/>
    <w:uiPriority w:val="99"/>
    <w:semiHidden/>
    <w:unhideWhenUsed/>
    <w:rsid w:val="009559EB"/>
    <w:rPr>
      <w:color w:val="808080"/>
      <w:shd w:val="clear" w:color="auto" w:fill="E6E6E6"/>
    </w:rPr>
  </w:style>
  <w:style w:type="character" w:customStyle="1" w:styleId="Heading3Char">
    <w:name w:val="Heading 3 Char"/>
    <w:basedOn w:val="DefaultParagraphFont"/>
    <w:link w:val="Heading3"/>
    <w:uiPriority w:val="9"/>
    <w:semiHidden/>
    <w:rsid w:val="000822BC"/>
    <w:rPr>
      <w:rFonts w:asciiTheme="majorHAnsi" w:eastAsiaTheme="majorEastAsia" w:hAnsiTheme="majorHAnsi" w:cstheme="majorBidi"/>
      <w:b/>
      <w:bCs/>
      <w:color w:val="4F81BD" w:themeColor="accent1"/>
    </w:rPr>
  </w:style>
  <w:style w:type="character" w:customStyle="1" w:styleId="highwire-cite-metadata-journal">
    <w:name w:val="highwire-cite-metadata-journal"/>
    <w:basedOn w:val="DefaultParagraphFont"/>
    <w:rsid w:val="000822BC"/>
  </w:style>
  <w:style w:type="character" w:customStyle="1" w:styleId="highwire-cite-metadata-date">
    <w:name w:val="highwire-cite-metadata-date"/>
    <w:basedOn w:val="DefaultParagraphFont"/>
    <w:rsid w:val="000822BC"/>
  </w:style>
  <w:style w:type="character" w:customStyle="1" w:styleId="highwire-cite-metadata-volume">
    <w:name w:val="highwire-cite-metadata-volume"/>
    <w:basedOn w:val="DefaultParagraphFont"/>
    <w:rsid w:val="000822BC"/>
  </w:style>
  <w:style w:type="character" w:customStyle="1" w:styleId="highwire-cite-metadata-pages">
    <w:name w:val="highwire-cite-metadata-pages"/>
    <w:basedOn w:val="DefaultParagraphFont"/>
    <w:rsid w:val="00082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0822BC"/>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32C"/>
    <w:rPr>
      <w:bCs/>
      <w:color w:val="4F81BD" w:themeColor="accent1"/>
      <w:sz w:val="40"/>
      <w:szCs w:val="32"/>
    </w:rPr>
  </w:style>
  <w:style w:type="paragraph" w:styleId="ListParagraph">
    <w:name w:val="List Paragraph"/>
    <w:basedOn w:val="Normal"/>
    <w:uiPriority w:val="34"/>
    <w:qFormat/>
    <w:rsid w:val="00392F00"/>
    <w:pPr>
      <w:ind w:left="720"/>
      <w:contextualSpacing/>
    </w:pPr>
  </w:style>
  <w:style w:type="character" w:customStyle="1" w:styleId="Heading2Char">
    <w:name w:val="Heading 2 Char"/>
    <w:basedOn w:val="DefaultParagraphFont"/>
    <w:link w:val="Heading2"/>
    <w:uiPriority w:val="9"/>
    <w:rsid w:val="004A0BF4"/>
    <w:rPr>
      <w:b/>
      <w:sz w:val="20"/>
      <w:szCs w:val="20"/>
    </w:rPr>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styleId="FollowedHyperlink">
    <w:name w:val="FollowedHyperlink"/>
    <w:basedOn w:val="DefaultParagraphFont"/>
    <w:uiPriority w:val="99"/>
    <w:semiHidden/>
    <w:unhideWhenUsed/>
    <w:rsid w:val="00790ECF"/>
    <w:rPr>
      <w:color w:val="800080" w:themeColor="followedHyperlink"/>
      <w:u w:val="single"/>
    </w:rPr>
  </w:style>
  <w:style w:type="character" w:customStyle="1" w:styleId="UnresolvedMention">
    <w:name w:val="Unresolved Mention"/>
    <w:basedOn w:val="DefaultParagraphFont"/>
    <w:uiPriority w:val="99"/>
    <w:semiHidden/>
    <w:unhideWhenUsed/>
    <w:rsid w:val="009559EB"/>
    <w:rPr>
      <w:color w:val="808080"/>
      <w:shd w:val="clear" w:color="auto" w:fill="E6E6E6"/>
    </w:rPr>
  </w:style>
  <w:style w:type="character" w:customStyle="1" w:styleId="Heading3Char">
    <w:name w:val="Heading 3 Char"/>
    <w:basedOn w:val="DefaultParagraphFont"/>
    <w:link w:val="Heading3"/>
    <w:uiPriority w:val="9"/>
    <w:semiHidden/>
    <w:rsid w:val="000822BC"/>
    <w:rPr>
      <w:rFonts w:asciiTheme="majorHAnsi" w:eastAsiaTheme="majorEastAsia" w:hAnsiTheme="majorHAnsi" w:cstheme="majorBidi"/>
      <w:b/>
      <w:bCs/>
      <w:color w:val="4F81BD" w:themeColor="accent1"/>
    </w:rPr>
  </w:style>
  <w:style w:type="character" w:customStyle="1" w:styleId="highwire-cite-metadata-journal">
    <w:name w:val="highwire-cite-metadata-journal"/>
    <w:basedOn w:val="DefaultParagraphFont"/>
    <w:rsid w:val="000822BC"/>
  </w:style>
  <w:style w:type="character" w:customStyle="1" w:styleId="highwire-cite-metadata-date">
    <w:name w:val="highwire-cite-metadata-date"/>
    <w:basedOn w:val="DefaultParagraphFont"/>
    <w:rsid w:val="000822BC"/>
  </w:style>
  <w:style w:type="character" w:customStyle="1" w:styleId="highwire-cite-metadata-volume">
    <w:name w:val="highwire-cite-metadata-volume"/>
    <w:basedOn w:val="DefaultParagraphFont"/>
    <w:rsid w:val="000822BC"/>
  </w:style>
  <w:style w:type="character" w:customStyle="1" w:styleId="highwire-cite-metadata-pages">
    <w:name w:val="highwire-cite-metadata-pages"/>
    <w:basedOn w:val="DefaultParagraphFont"/>
    <w:rsid w:val="0008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ndfonline.com/doi/abs/10.3109/10408363.2013.847897?journalCode=ilab20" TargetMode="External"/><Relationship Id="rId18" Type="http://schemas.openxmlformats.org/officeDocument/2006/relationships/hyperlink" Target="http://www.atherosclerosis-journal.com/article/S0021-9150(12)00588-6/fulltext" TargetMode="External"/><Relationship Id="rId26" Type="http://schemas.openxmlformats.org/officeDocument/2006/relationships/hyperlink" Target="http://circoutcomes.ahajournals.org/content/4/3/337.long" TargetMode="External"/><Relationship Id="rId3" Type="http://schemas.openxmlformats.org/officeDocument/2006/relationships/styles" Target="styles.xml"/><Relationship Id="rId21" Type="http://schemas.openxmlformats.org/officeDocument/2006/relationships/hyperlink" Target="http://journals.lww.com/co-lipidology/Abstract/2015/06000/Limitations_in_the_conventional_assessment_of_the.9.aspx" TargetMode="External"/><Relationship Id="rId7" Type="http://schemas.openxmlformats.org/officeDocument/2006/relationships/footnotes" Target="footnotes.xml"/><Relationship Id="rId12" Type="http://schemas.openxmlformats.org/officeDocument/2006/relationships/hyperlink" Target="http://www.lipidjournal.com/article/S1933-2874(10)00103-0/fulltext" TargetMode="External"/><Relationship Id="rId17" Type="http://schemas.openxmlformats.org/officeDocument/2006/relationships/hyperlink" Target="http://www.lipidjournal.com/article/S1933-2874(10)00104-2/fulltext" TargetMode="External"/><Relationship Id="rId25" Type="http://schemas.openxmlformats.org/officeDocument/2006/relationships/hyperlink" Target="http://www.sciencedirect.com/science/article/pii/S0735109715072228?via%3Dihub" TargetMode="External"/><Relationship Id="rId2" Type="http://schemas.openxmlformats.org/officeDocument/2006/relationships/numbering" Target="numbering.xml"/><Relationship Id="rId16" Type="http://schemas.openxmlformats.org/officeDocument/2006/relationships/hyperlink" Target="http://www.thelancet.com/journals/lancet/article/PIIS0140-6736(08)61076-4/fulltext" TargetMode="External"/><Relationship Id="rId20" Type="http://schemas.openxmlformats.org/officeDocument/2006/relationships/hyperlink" Target="http://journals.lww.com/co-lipidology/Abstract/2014/12000/Discordance_analysis_and_the_Gordian_Knot_of_LDL.9.aspx"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cbi.nlm.nih.gov/pmc/articles/PMC512147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journals.sagepub.com/doi/pdf/10.1177/2047487315569411" TargetMode="External"/><Relationship Id="rId23" Type="http://schemas.openxmlformats.org/officeDocument/2006/relationships/hyperlink" Target="https://www.ncbi.nlm.nih.gov/pmc/articles/PMC4187506/" TargetMode="External"/><Relationship Id="rId28"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www.lipidjournal.com/article/S1933-2874(13)00253-5/fulltex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ta@health.gov.au" TargetMode="External"/><Relationship Id="rId14" Type="http://schemas.openxmlformats.org/officeDocument/2006/relationships/hyperlink" Target="http://www.thelancet.com/journals/lancet/article/PIIS0140-6736(08)61076-4/fulltext" TargetMode="External"/><Relationship Id="rId22" Type="http://schemas.openxmlformats.org/officeDocument/2006/relationships/hyperlink" Target="http://www.lipidjournal.com/article/S1933-2874(16)30268-9/fulltext" TargetMode="External"/><Relationship Id="rId27" Type="http://schemas.openxmlformats.org/officeDocument/2006/relationships/hyperlink" Target="http://www.clinsci.org/content/114/2/149.abstract"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78FC-3410-4D00-8AD3-0C49ED3B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7258</Words>
  <Characters>41374</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Faraz Ghazi</cp:lastModifiedBy>
  <cp:revision>2</cp:revision>
  <cp:lastPrinted>2018-01-16T03:01:00Z</cp:lastPrinted>
  <dcterms:created xsi:type="dcterms:W3CDTF">2018-02-01T04:29:00Z</dcterms:created>
  <dcterms:modified xsi:type="dcterms:W3CDTF">2018-02-01T04:29:00Z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