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B80" w:rsidRPr="00F637B3" w:rsidRDefault="00E44B80" w:rsidP="00E44B80">
      <w:pPr>
        <w:jc w:val="center"/>
        <w:rPr>
          <w:b/>
          <w:szCs w:val="20"/>
        </w:rPr>
      </w:pPr>
      <w:r w:rsidRPr="00F637B3">
        <w:rPr>
          <w:b/>
          <w:noProof/>
          <w:szCs w:val="20"/>
          <w:lang w:eastAsia="en-AU"/>
        </w:rPr>
        <w:drawing>
          <wp:inline distT="0" distB="0" distL="0" distR="0" wp14:anchorId="3712ADFF" wp14:editId="62A9DFBC">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rsidR="008B2610" w:rsidRPr="006F20CF" w:rsidRDefault="008B2610" w:rsidP="00F971CC">
      <w:pPr>
        <w:pStyle w:val="Title"/>
        <w:spacing w:before="2600"/>
      </w:pPr>
      <w:r w:rsidRPr="001906CD">
        <w:t>Application Form</w:t>
      </w:r>
      <w:bookmarkStart w:id="0" w:name="_GoBack"/>
      <w:bookmarkEnd w:id="0"/>
    </w:p>
    <w:p w:rsidR="003013A9" w:rsidRPr="00D73646" w:rsidRDefault="00854E86" w:rsidP="003D4BE8">
      <w:pPr>
        <w:pStyle w:val="Title"/>
        <w:spacing w:before="240" w:after="0"/>
        <w:rPr>
          <w:sz w:val="28"/>
          <w:szCs w:val="28"/>
        </w:rPr>
      </w:pPr>
      <w:r>
        <w:rPr>
          <w:sz w:val="28"/>
          <w:szCs w:val="28"/>
        </w:rPr>
        <w:t>Diagnosis of hypertension using a</w:t>
      </w:r>
      <w:r w:rsidR="003D4BE8" w:rsidRPr="003D4BE8">
        <w:rPr>
          <w:sz w:val="28"/>
          <w:szCs w:val="28"/>
        </w:rPr>
        <w:t>mbulatory blood pressure monitoring in patient</w:t>
      </w:r>
      <w:r w:rsidR="000B66D4">
        <w:rPr>
          <w:sz w:val="28"/>
          <w:szCs w:val="28"/>
        </w:rPr>
        <w:t>s</w:t>
      </w:r>
      <w:r w:rsidR="003D4BE8" w:rsidRPr="003D4BE8">
        <w:rPr>
          <w:sz w:val="28"/>
          <w:szCs w:val="28"/>
        </w:rPr>
        <w:t xml:space="preserve"> with clinic blood pressure </w:t>
      </w:r>
      <w:r w:rsidR="00B501D0">
        <w:rPr>
          <w:sz w:val="28"/>
          <w:szCs w:val="28"/>
        </w:rPr>
        <w:t>≥</w:t>
      </w:r>
      <w:r w:rsidR="003D4BE8" w:rsidRPr="003D4BE8">
        <w:rPr>
          <w:sz w:val="28"/>
          <w:szCs w:val="28"/>
        </w:rPr>
        <w:t xml:space="preserve"> 140/90mmHg</w:t>
      </w:r>
      <w:r w:rsidR="003D4BE8">
        <w:rPr>
          <w:sz w:val="28"/>
          <w:szCs w:val="28"/>
        </w:rPr>
        <w:t xml:space="preserve"> </w:t>
      </w:r>
      <w:r w:rsidR="00B501D0">
        <w:rPr>
          <w:sz w:val="28"/>
          <w:szCs w:val="28"/>
        </w:rPr>
        <w:t>and ≤</w:t>
      </w:r>
      <w:r w:rsidR="003D4BE8">
        <w:rPr>
          <w:sz w:val="28"/>
          <w:szCs w:val="28"/>
        </w:rPr>
        <w:t xml:space="preserve"> 180/</w:t>
      </w:r>
      <w:r w:rsidR="0068742D">
        <w:rPr>
          <w:sz w:val="28"/>
          <w:szCs w:val="28"/>
        </w:rPr>
        <w:t>110</w:t>
      </w:r>
      <w:r w:rsidR="003D4BE8">
        <w:rPr>
          <w:sz w:val="28"/>
          <w:szCs w:val="28"/>
        </w:rPr>
        <w:t>mmHg</w:t>
      </w:r>
    </w:p>
    <w:p w:rsidR="00B501D0" w:rsidRPr="00DD4A3B" w:rsidRDefault="00B501D0" w:rsidP="00415C74">
      <w:pPr>
        <w:pStyle w:val="Heading1"/>
        <w:rPr>
          <w:rStyle w:val="IntenseReference"/>
          <w:sz w:val="460"/>
          <w:szCs w:val="460"/>
        </w:rPr>
      </w:pPr>
      <w:bookmarkStart w:id="1" w:name="_Toc443555803"/>
    </w:p>
    <w:p w:rsidR="00B501D0" w:rsidRPr="00B501D0" w:rsidRDefault="00B501D0" w:rsidP="00B501D0">
      <w:pPr>
        <w:pStyle w:val="Heading1"/>
        <w:jc w:val="right"/>
        <w:rPr>
          <w:rStyle w:val="IntenseReference"/>
          <w:b/>
        </w:rPr>
      </w:pPr>
      <w:r w:rsidRPr="00B501D0">
        <w:rPr>
          <w:rStyle w:val="IntenseReference"/>
          <w:b/>
          <w:color w:val="auto"/>
        </w:rPr>
        <w:t>November 2018</w:t>
      </w:r>
    </w:p>
    <w:p w:rsidR="00E04FB3" w:rsidRPr="00C776B1" w:rsidRDefault="00D73646" w:rsidP="00B501D0">
      <w:pPr>
        <w:pStyle w:val="Heading1"/>
      </w:pPr>
      <w:r>
        <w:rPr>
          <w:rStyle w:val="IntenseReference"/>
        </w:rPr>
        <w:br w:type="page"/>
      </w:r>
      <w:bookmarkEnd w:id="1"/>
      <w:r w:rsidR="00494011">
        <w:lastRenderedPageBreak/>
        <w:t>PART 1</w:t>
      </w:r>
      <w:r w:rsidR="00F93784">
        <w:t xml:space="preserve"> – </w:t>
      </w:r>
      <w:r w:rsidR="00E04FB3" w:rsidRPr="00C776B1">
        <w:t>APPLICANT DETAILS</w:t>
      </w:r>
    </w:p>
    <w:p w:rsidR="00392F00" w:rsidRDefault="00D57F88" w:rsidP="004A0BF4">
      <w:pPr>
        <w:pStyle w:val="Heading2"/>
      </w:pPr>
      <w:r w:rsidRPr="00A8732C">
        <w:t>Applicant d</w:t>
      </w:r>
      <w:r w:rsidR="00392F00" w:rsidRPr="00A8732C">
        <w:t>etails</w:t>
      </w:r>
      <w:r w:rsidR="000D066E" w:rsidRPr="00A8732C">
        <w:t xml:space="preserve"> (primary and alternative contacts)</w:t>
      </w:r>
    </w:p>
    <w:p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rsidR="00AC266B">
        <w:t>REDACTED</w:t>
      </w:r>
    </w:p>
    <w:p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AC266B">
        <w:t>REDACTED</w:t>
      </w:r>
    </w:p>
    <w:p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AC266B">
        <w:t>REDACTED</w:t>
      </w:r>
    </w:p>
    <w:p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AC266B">
        <w:t>REDACTED</w:t>
      </w:r>
    </w:p>
    <w:p w:rsidR="00C171FB" w:rsidRPr="00C171FB" w:rsidRDefault="00C171FB" w:rsidP="00C171FB"/>
    <w:p w:rsidR="00C171FB" w:rsidRPr="00C171FB" w:rsidRDefault="00C171FB" w:rsidP="00C171FB">
      <w:pPr>
        <w:rPr>
          <w:b/>
        </w:rPr>
      </w:pPr>
      <w:r>
        <w:rPr>
          <w:b/>
        </w:rPr>
        <w:t xml:space="preserve">Primary contact name: </w:t>
      </w:r>
      <w:r w:rsidR="00AC266B">
        <w:t>REDACTED</w:t>
      </w:r>
    </w:p>
    <w:p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AC266B">
        <w:t>REDACTED</w:t>
      </w:r>
    </w:p>
    <w:p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AC266B">
        <w:t>REDACTED</w:t>
      </w:r>
    </w:p>
    <w:p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AC266B">
        <w:t>REDACTED</w:t>
      </w:r>
    </w:p>
    <w:p w:rsidR="00C171FB" w:rsidRDefault="00C171FB" w:rsidP="00C171FB">
      <w:pPr>
        <w:rPr>
          <w:b/>
        </w:rPr>
      </w:pPr>
    </w:p>
    <w:p w:rsidR="00C171FB" w:rsidRPr="00C171FB" w:rsidRDefault="00C171FB" w:rsidP="00C171FB">
      <w:pPr>
        <w:rPr>
          <w:b/>
        </w:rPr>
      </w:pPr>
      <w:r>
        <w:rPr>
          <w:b/>
        </w:rPr>
        <w:t xml:space="preserve">Alternative contact name: </w:t>
      </w:r>
      <w:r w:rsidR="00AC266B">
        <w:t>REDACTED</w:t>
      </w:r>
    </w:p>
    <w:p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AC266B">
        <w:t>REDACTED</w:t>
      </w:r>
    </w:p>
    <w:p w:rsidR="00AC266B" w:rsidRDefault="00C171FB" w:rsidP="00C171FB">
      <w:pPr>
        <w:pBdr>
          <w:top w:val="single" w:sz="4" w:space="1" w:color="auto"/>
          <w:left w:val="single" w:sz="4" w:space="4" w:color="auto"/>
          <w:bottom w:val="single" w:sz="4" w:space="1" w:color="auto"/>
          <w:right w:val="single" w:sz="4" w:space="4" w:color="auto"/>
        </w:pBdr>
      </w:pPr>
      <w:r>
        <w:t xml:space="preserve">Mobile: </w:t>
      </w:r>
      <w:r w:rsidR="00AC266B">
        <w:t xml:space="preserve">REDACTED </w:t>
      </w:r>
    </w:p>
    <w:p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AC266B">
        <w:t>REDACTED</w:t>
      </w:r>
    </w:p>
    <w:p w:rsidR="00C171FB" w:rsidRPr="00C171FB" w:rsidRDefault="00C171FB" w:rsidP="00C171FB"/>
    <w:p w:rsidR="00534C5F" w:rsidRPr="00154B00" w:rsidRDefault="00494011" w:rsidP="004A0BF4">
      <w:pPr>
        <w:pStyle w:val="Heading2"/>
      </w:pPr>
      <w:r>
        <w:t xml:space="preserve">(a) </w:t>
      </w:r>
      <w:r w:rsidR="00534C5F">
        <w:t>Are you a lobbyist acting on behalf of an Applicant?</w:t>
      </w:r>
    </w:p>
    <w:p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DD4A3B">
        <w:rPr>
          <w:szCs w:val="20"/>
        </w:rPr>
      </w:r>
      <w:r w:rsidR="00DD4A3B">
        <w:rPr>
          <w:szCs w:val="20"/>
        </w:rPr>
        <w:fldChar w:fldCharType="separate"/>
      </w:r>
      <w:r w:rsidRPr="00753C44">
        <w:rPr>
          <w:szCs w:val="20"/>
        </w:rPr>
        <w:fldChar w:fldCharType="end"/>
      </w:r>
      <w:r>
        <w:rPr>
          <w:szCs w:val="20"/>
        </w:rPr>
        <w:t xml:space="preserve"> Yes</w:t>
      </w:r>
    </w:p>
    <w:p w:rsidR="00A6491A" w:rsidRPr="00753C44" w:rsidRDefault="003D4BE8"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D4A3B">
        <w:rPr>
          <w:szCs w:val="20"/>
        </w:rPr>
      </w:r>
      <w:r w:rsidR="00DD4A3B">
        <w:rPr>
          <w:szCs w:val="20"/>
        </w:rPr>
        <w:fldChar w:fldCharType="separate"/>
      </w:r>
      <w:r>
        <w:rPr>
          <w:szCs w:val="20"/>
        </w:rPr>
        <w:fldChar w:fldCharType="end"/>
      </w:r>
      <w:r w:rsidR="00A6491A">
        <w:rPr>
          <w:szCs w:val="20"/>
        </w:rPr>
        <w:t xml:space="preserve"> No</w:t>
      </w:r>
      <w:r w:rsidR="00A6491A" w:rsidRPr="00753C44">
        <w:rPr>
          <w:szCs w:val="20"/>
        </w:rPr>
        <w:t xml:space="preserve">  </w:t>
      </w:r>
    </w:p>
    <w:p w:rsidR="00534C5F" w:rsidRPr="003D4BE8" w:rsidRDefault="00534C5F" w:rsidP="00494011">
      <w:pPr>
        <w:pStyle w:val="Heading2"/>
        <w:numPr>
          <w:ilvl w:val="0"/>
          <w:numId w:val="23"/>
        </w:numPr>
        <w:rPr>
          <w:color w:val="808080" w:themeColor="background1" w:themeShade="80"/>
        </w:rPr>
      </w:pPr>
      <w:r w:rsidRPr="003D4BE8">
        <w:rPr>
          <w:color w:val="808080" w:themeColor="background1" w:themeShade="80"/>
        </w:rPr>
        <w:t>If yes, are you listed on the Register of Lobbyists?</w:t>
      </w:r>
    </w:p>
    <w:p w:rsidR="00A6491A" w:rsidRPr="003D4BE8" w:rsidRDefault="00A6491A" w:rsidP="00A6491A">
      <w:pPr>
        <w:spacing w:before="0" w:after="0"/>
        <w:ind w:left="426"/>
        <w:rPr>
          <w:color w:val="808080" w:themeColor="background1" w:themeShade="80"/>
          <w:szCs w:val="20"/>
        </w:rPr>
      </w:pPr>
      <w:r w:rsidRPr="003D4BE8">
        <w:rPr>
          <w:color w:val="808080" w:themeColor="background1" w:themeShade="80"/>
          <w:szCs w:val="20"/>
        </w:rPr>
        <w:fldChar w:fldCharType="begin">
          <w:ffData>
            <w:name w:val="Check1"/>
            <w:enabled/>
            <w:calcOnExit w:val="0"/>
            <w:checkBox>
              <w:sizeAuto/>
              <w:default w:val="0"/>
            </w:checkBox>
          </w:ffData>
        </w:fldChar>
      </w:r>
      <w:r w:rsidRPr="003D4BE8">
        <w:rPr>
          <w:color w:val="808080" w:themeColor="background1" w:themeShade="80"/>
          <w:szCs w:val="20"/>
        </w:rPr>
        <w:instrText xml:space="preserve"> FORMCHECKBOX </w:instrText>
      </w:r>
      <w:r w:rsidR="00DD4A3B">
        <w:rPr>
          <w:color w:val="808080" w:themeColor="background1" w:themeShade="80"/>
          <w:szCs w:val="20"/>
        </w:rPr>
      </w:r>
      <w:r w:rsidR="00DD4A3B">
        <w:rPr>
          <w:color w:val="808080" w:themeColor="background1" w:themeShade="80"/>
          <w:szCs w:val="20"/>
        </w:rPr>
        <w:fldChar w:fldCharType="separate"/>
      </w:r>
      <w:r w:rsidRPr="003D4BE8">
        <w:rPr>
          <w:color w:val="808080" w:themeColor="background1" w:themeShade="80"/>
          <w:szCs w:val="20"/>
        </w:rPr>
        <w:fldChar w:fldCharType="end"/>
      </w:r>
      <w:r w:rsidRPr="003D4BE8">
        <w:rPr>
          <w:color w:val="808080" w:themeColor="background1" w:themeShade="80"/>
          <w:szCs w:val="20"/>
        </w:rPr>
        <w:t xml:space="preserve"> Yes</w:t>
      </w:r>
    </w:p>
    <w:p w:rsidR="00A6491A" w:rsidRPr="003D4BE8" w:rsidRDefault="00A6491A" w:rsidP="00A6491A">
      <w:pPr>
        <w:spacing w:before="0" w:after="0"/>
        <w:ind w:left="426"/>
        <w:rPr>
          <w:color w:val="808080" w:themeColor="background1" w:themeShade="80"/>
          <w:szCs w:val="20"/>
        </w:rPr>
      </w:pPr>
      <w:r w:rsidRPr="003D4BE8">
        <w:rPr>
          <w:color w:val="808080" w:themeColor="background1" w:themeShade="80"/>
          <w:szCs w:val="20"/>
        </w:rPr>
        <w:fldChar w:fldCharType="begin">
          <w:ffData>
            <w:name w:val="Check2"/>
            <w:enabled/>
            <w:calcOnExit w:val="0"/>
            <w:checkBox>
              <w:sizeAuto/>
              <w:default w:val="0"/>
            </w:checkBox>
          </w:ffData>
        </w:fldChar>
      </w:r>
      <w:r w:rsidRPr="003D4BE8">
        <w:rPr>
          <w:color w:val="808080" w:themeColor="background1" w:themeShade="80"/>
          <w:szCs w:val="20"/>
        </w:rPr>
        <w:instrText xml:space="preserve"> FORMCHECKBOX </w:instrText>
      </w:r>
      <w:r w:rsidR="00DD4A3B">
        <w:rPr>
          <w:color w:val="808080" w:themeColor="background1" w:themeShade="80"/>
          <w:szCs w:val="20"/>
        </w:rPr>
      </w:r>
      <w:r w:rsidR="00DD4A3B">
        <w:rPr>
          <w:color w:val="808080" w:themeColor="background1" w:themeShade="80"/>
          <w:szCs w:val="20"/>
        </w:rPr>
        <w:fldChar w:fldCharType="separate"/>
      </w:r>
      <w:r w:rsidRPr="003D4BE8">
        <w:rPr>
          <w:color w:val="808080" w:themeColor="background1" w:themeShade="80"/>
          <w:szCs w:val="20"/>
        </w:rPr>
        <w:fldChar w:fldCharType="end"/>
      </w:r>
      <w:r w:rsidRPr="003D4BE8">
        <w:rPr>
          <w:color w:val="808080" w:themeColor="background1" w:themeShade="80"/>
          <w:szCs w:val="20"/>
        </w:rPr>
        <w:t xml:space="preserve"> No  </w:t>
      </w:r>
    </w:p>
    <w:p w:rsidR="00E04FB3" w:rsidRDefault="00E04FB3" w:rsidP="005C333E">
      <w:pPr>
        <w:spacing w:before="0" w:after="0"/>
        <w:ind w:left="426"/>
        <w:rPr>
          <w:b/>
          <w:szCs w:val="20"/>
        </w:rPr>
      </w:pPr>
      <w:r w:rsidRPr="00154B00">
        <w:rPr>
          <w:b/>
          <w:szCs w:val="20"/>
        </w:rPr>
        <w:br w:type="page"/>
      </w:r>
    </w:p>
    <w:p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rsidR="000B3CD0" w:rsidRDefault="000B3CD0" w:rsidP="00730C04">
      <w:pPr>
        <w:pStyle w:val="Heading2"/>
      </w:pPr>
      <w:r w:rsidRPr="00154B00">
        <w:t>Application title</w:t>
      </w:r>
      <w:r w:rsidR="00A8732C">
        <w:t xml:space="preserve"> </w:t>
      </w:r>
    </w:p>
    <w:p w:rsidR="009056C5" w:rsidRPr="009056C5" w:rsidRDefault="00854E86" w:rsidP="00295AD6">
      <w:pPr>
        <w:ind w:left="284"/>
        <w:jc w:val="both"/>
      </w:pPr>
      <w:r w:rsidRPr="00854E86">
        <w:t>Diagnosis of hypertension using ambulatory blood pressure monitoring in patients with clinic blood pressure ≥ 140/90mmHg and ≤ 180/110mmHg</w:t>
      </w:r>
    </w:p>
    <w:p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 xml:space="preserve">at Part </w:t>
      </w:r>
      <w:r w:rsidR="000B66D4">
        <w:t>6</w:t>
      </w:r>
      <w:r w:rsidR="00C847AE">
        <w:t xml:space="preserve"> of the Application Form</w:t>
      </w:r>
      <w:r w:rsidR="000955E7" w:rsidRPr="00154B00">
        <w:t>)</w:t>
      </w:r>
    </w:p>
    <w:p w:rsidR="002C3345" w:rsidRPr="009056C5" w:rsidRDefault="00E3170B" w:rsidP="00625CBA">
      <w:pPr>
        <w:ind w:left="284"/>
        <w:jc w:val="both"/>
      </w:pPr>
      <w:r>
        <w:t xml:space="preserve">High blood pressure </w:t>
      </w:r>
      <w:r w:rsidR="00C3628A">
        <w:t xml:space="preserve">currently </w:t>
      </w:r>
      <w:r>
        <w:t>is defined as a BP reading ≥ 140/90mmHg usually taken using a</w:t>
      </w:r>
      <w:r w:rsidR="00625CBA">
        <w:t xml:space="preserve"> </w:t>
      </w:r>
      <w:r w:rsidRPr="004D5C7C">
        <w:rPr>
          <w:color w:val="333333"/>
          <w:szCs w:val="20"/>
          <w:shd w:val="clear" w:color="auto" w:fill="FFFFFF"/>
        </w:rPr>
        <w:t>sphygmomanometer</w:t>
      </w:r>
      <w:r>
        <w:t xml:space="preserve"> as part of a standard consultation with either a General Practitioner or a Specialist in hypertension.</w:t>
      </w:r>
    </w:p>
    <w:p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rsidR="00854E86" w:rsidRDefault="00854E86" w:rsidP="00ED0B76">
      <w:pPr>
        <w:ind w:left="284"/>
        <w:jc w:val="both"/>
      </w:pPr>
      <w:r>
        <w:t xml:space="preserve">The actual proposed service is conducted after the patient has worn an ambulatory blood pressure monitor for a specified period, generally ≥ </w:t>
      </w:r>
      <w:r w:rsidRPr="00854E86">
        <w:t>24 hours</w:t>
      </w:r>
      <w:r>
        <w:t xml:space="preserve">.  </w:t>
      </w:r>
      <w:r w:rsidRPr="00854E86">
        <w:t xml:space="preserve"> </w:t>
      </w:r>
      <w:r>
        <w:t>The proposed service</w:t>
      </w:r>
      <w:r w:rsidRPr="00854E86">
        <w:t xml:space="preserve"> involves the doctor downloading</w:t>
      </w:r>
      <w:r>
        <w:t>, analysing</w:t>
      </w:r>
      <w:r w:rsidRPr="00854E86">
        <w:t xml:space="preserve"> and reviewing the reading </w:t>
      </w:r>
      <w:r>
        <w:t>from</w:t>
      </w:r>
      <w:r w:rsidRPr="00854E86">
        <w:t xml:space="preserve"> the </w:t>
      </w:r>
      <w:r>
        <w:t>ambulatory blood pressure monitor</w:t>
      </w:r>
      <w:r w:rsidRPr="00854E86">
        <w:t>, making a diagnosis and determining the appropriate therapeutic management</w:t>
      </w:r>
      <w:r>
        <w:t xml:space="preserve"> of the hypertension</w:t>
      </w:r>
      <w:r w:rsidRPr="00854E86">
        <w:t>.</w:t>
      </w:r>
    </w:p>
    <w:p w:rsidR="00854E86" w:rsidRPr="00854E86" w:rsidRDefault="00854E86" w:rsidP="00ED0B76">
      <w:pPr>
        <w:ind w:left="284"/>
        <w:jc w:val="both"/>
        <w:rPr>
          <w:u w:val="single"/>
        </w:rPr>
      </w:pPr>
      <w:r w:rsidRPr="00854E86">
        <w:rPr>
          <w:u w:val="single"/>
        </w:rPr>
        <w:t>Prior to the proposed service</w:t>
      </w:r>
    </w:p>
    <w:p w:rsidR="00ED0B76" w:rsidRDefault="00ED0B76" w:rsidP="00ED0B76">
      <w:pPr>
        <w:ind w:left="284"/>
        <w:jc w:val="both"/>
      </w:pPr>
      <w:r>
        <w:t xml:space="preserve">Ambulatory blood pressure monitoring (ABPM) involves the patient wearing a portable blood pressure (BP) measuring device for a specified period (usually </w:t>
      </w:r>
      <w:r w:rsidR="00625CBA">
        <w:t xml:space="preserve">≥ </w:t>
      </w:r>
      <w:r>
        <w:t xml:space="preserve">24 hours), during which periodic BP measurements (usually every </w:t>
      </w:r>
      <w:r w:rsidR="00625CBA">
        <w:t>15</w:t>
      </w:r>
      <w:r>
        <w:t xml:space="preserve"> to 30 minutes</w:t>
      </w:r>
      <w:r w:rsidR="000B66D4">
        <w:t xml:space="preserve"> during the day and every </w:t>
      </w:r>
      <w:r w:rsidR="00625CBA">
        <w:t xml:space="preserve">30 to </w:t>
      </w:r>
      <w:r w:rsidR="000B66D4">
        <w:t>60 minutes during the night</w:t>
      </w:r>
      <w:r>
        <w:t xml:space="preserve">) are automatically taken via a cuff </w:t>
      </w:r>
      <w:r w:rsidR="004D1717">
        <w:t xml:space="preserve">or sensor </w:t>
      </w:r>
      <w:r>
        <w:t>worn on the upper arm. The resulting series of BP readings, taken throughout the person’s normal daytime activities and during sleep, provides a robust assessment of</w:t>
      </w:r>
      <w:r w:rsidR="000B66D4">
        <w:t xml:space="preserve"> the impact of BP on the person’</w:t>
      </w:r>
      <w:r>
        <w:t xml:space="preserve">s cardiovascular system (BP load). </w:t>
      </w:r>
    </w:p>
    <w:p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rsidR="00753C44" w:rsidRDefault="00CC674A" w:rsidP="00A6491A">
      <w:pPr>
        <w:spacing w:before="0" w:after="0"/>
        <w:ind w:left="284"/>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DD4A3B">
        <w:rPr>
          <w:szCs w:val="20"/>
        </w:rPr>
      </w:r>
      <w:r w:rsidR="00DD4A3B">
        <w:rPr>
          <w:szCs w:val="20"/>
        </w:rPr>
        <w:fldChar w:fldCharType="separate"/>
      </w:r>
      <w:r>
        <w:rPr>
          <w:szCs w:val="20"/>
        </w:rPr>
        <w:fldChar w:fldCharType="end"/>
      </w:r>
      <w:bookmarkEnd w:id="2"/>
      <w:r w:rsidR="006B6390">
        <w:rPr>
          <w:szCs w:val="20"/>
        </w:rPr>
        <w:t xml:space="preserve"> Yes</w:t>
      </w:r>
    </w:p>
    <w:p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DD4A3B">
        <w:rPr>
          <w:szCs w:val="20"/>
        </w:rPr>
      </w:r>
      <w:r w:rsidR="00DD4A3B">
        <w:rPr>
          <w:szCs w:val="20"/>
        </w:rPr>
        <w:fldChar w:fldCharType="separate"/>
      </w:r>
      <w:r w:rsidRPr="00753C44">
        <w:rPr>
          <w:szCs w:val="20"/>
        </w:rPr>
        <w:fldChar w:fldCharType="end"/>
      </w:r>
      <w:r>
        <w:rPr>
          <w:szCs w:val="20"/>
        </w:rPr>
        <w:t xml:space="preserve"> No</w:t>
      </w:r>
      <w:r w:rsidR="00753C44" w:rsidRPr="00753C44">
        <w:rPr>
          <w:szCs w:val="20"/>
        </w:rPr>
        <w:t xml:space="preserve">  </w:t>
      </w:r>
    </w:p>
    <w:p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DD4A3B">
        <w:rPr>
          <w:szCs w:val="20"/>
        </w:rPr>
      </w:r>
      <w:r w:rsidR="00DD4A3B">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rsidR="00753C44" w:rsidRPr="00753C44" w:rsidRDefault="00CC674A" w:rsidP="00A6491A">
      <w:pPr>
        <w:spacing w:before="0" w:after="0"/>
        <w:ind w:left="284"/>
        <w:rPr>
          <w:szCs w:val="20"/>
        </w:rPr>
      </w:pPr>
      <w:r>
        <w:rPr>
          <w:szCs w:val="20"/>
        </w:rPr>
        <w:fldChar w:fldCharType="begin">
          <w:ffData>
            <w:name w:val="Check2"/>
            <w:enabled/>
            <w:calcOnExit w:val="0"/>
            <w:checkBox>
              <w:sizeAuto/>
              <w:default w:val="1"/>
            </w:checkBox>
          </w:ffData>
        </w:fldChar>
      </w:r>
      <w:bookmarkStart w:id="3" w:name="Check2"/>
      <w:r>
        <w:rPr>
          <w:szCs w:val="20"/>
        </w:rPr>
        <w:instrText xml:space="preserve"> FORMCHECKBOX </w:instrText>
      </w:r>
      <w:r w:rsidR="00DD4A3B">
        <w:rPr>
          <w:szCs w:val="20"/>
        </w:rPr>
      </w:r>
      <w:r w:rsidR="00DD4A3B">
        <w:rPr>
          <w:szCs w:val="20"/>
        </w:rPr>
        <w:fldChar w:fldCharType="separate"/>
      </w:r>
      <w:r>
        <w:rPr>
          <w:szCs w:val="20"/>
        </w:rPr>
        <w:fldChar w:fldCharType="end"/>
      </w:r>
      <w:bookmarkEnd w:id="3"/>
      <w:r w:rsidR="006B6390">
        <w:rPr>
          <w:szCs w:val="20"/>
        </w:rPr>
        <w:t xml:space="preserve"> </w:t>
      </w:r>
      <w:r w:rsidR="00753C44" w:rsidRPr="00154B00">
        <w:rPr>
          <w:szCs w:val="20"/>
        </w:rPr>
        <w:t>New MBS item</w:t>
      </w:r>
      <w:r w:rsidR="00753C44">
        <w:rPr>
          <w:szCs w:val="20"/>
        </w:rPr>
        <w:t>(s)</w:t>
      </w:r>
    </w:p>
    <w:p w:rsidR="000B3CD0" w:rsidRPr="00CC674A" w:rsidRDefault="000B3CD0" w:rsidP="00730C04">
      <w:pPr>
        <w:pStyle w:val="Heading2"/>
        <w:numPr>
          <w:ilvl w:val="0"/>
          <w:numId w:val="24"/>
        </w:numPr>
        <w:rPr>
          <w:rStyle w:val="Strong"/>
          <w:rFonts w:asciiTheme="minorHAnsi" w:eastAsiaTheme="minorHAnsi" w:hAnsiTheme="minorHAnsi" w:cstheme="minorBidi"/>
          <w:b/>
          <w:color w:val="808080" w:themeColor="background1" w:themeShade="80"/>
        </w:rPr>
      </w:pPr>
      <w:r w:rsidRPr="00CC674A">
        <w:rPr>
          <w:rStyle w:val="Strong"/>
          <w:rFonts w:asciiTheme="minorHAnsi" w:eastAsiaTheme="minorHAnsi" w:hAnsiTheme="minorHAnsi" w:cstheme="minorBidi"/>
          <w:b/>
          <w:color w:val="808080" w:themeColor="background1" w:themeShade="80"/>
        </w:rPr>
        <w:t xml:space="preserve">If </w:t>
      </w:r>
      <w:r w:rsidR="00126B33" w:rsidRPr="00CC674A">
        <w:rPr>
          <w:rStyle w:val="Strong"/>
          <w:rFonts w:asciiTheme="minorHAnsi" w:eastAsiaTheme="minorHAnsi" w:hAnsiTheme="minorHAnsi" w:cstheme="minorBidi"/>
          <w:b/>
          <w:color w:val="808080" w:themeColor="background1" w:themeShade="80"/>
        </w:rPr>
        <w:t xml:space="preserve">an amendment </w:t>
      </w:r>
      <w:r w:rsidR="003020B5" w:rsidRPr="00CC674A">
        <w:rPr>
          <w:rStyle w:val="Strong"/>
          <w:rFonts w:asciiTheme="minorHAnsi" w:eastAsiaTheme="minorHAnsi" w:hAnsiTheme="minorHAnsi" w:cstheme="minorBidi"/>
          <w:b/>
          <w:color w:val="808080" w:themeColor="background1" w:themeShade="80"/>
        </w:rPr>
        <w:t xml:space="preserve">to </w:t>
      </w:r>
      <w:r w:rsidR="00126B33" w:rsidRPr="00CC674A">
        <w:rPr>
          <w:rStyle w:val="Strong"/>
          <w:rFonts w:asciiTheme="minorHAnsi" w:eastAsiaTheme="minorHAnsi" w:hAnsiTheme="minorHAnsi" w:cstheme="minorBidi"/>
          <w:b/>
          <w:color w:val="808080" w:themeColor="background1" w:themeShade="80"/>
        </w:rPr>
        <w:t xml:space="preserve">an </w:t>
      </w:r>
      <w:r w:rsidR="003020B5" w:rsidRPr="00CC674A">
        <w:rPr>
          <w:rStyle w:val="Strong"/>
          <w:rFonts w:asciiTheme="minorHAnsi" w:eastAsiaTheme="minorHAnsi" w:hAnsiTheme="minorHAnsi" w:cstheme="minorBidi"/>
          <w:b/>
          <w:color w:val="808080" w:themeColor="background1" w:themeShade="80"/>
        </w:rPr>
        <w:t>existing item</w:t>
      </w:r>
      <w:r w:rsidR="005D0677" w:rsidRPr="00CC674A">
        <w:rPr>
          <w:rStyle w:val="Strong"/>
          <w:rFonts w:asciiTheme="minorHAnsi" w:eastAsiaTheme="minorHAnsi" w:hAnsiTheme="minorHAnsi" w:cstheme="minorBidi"/>
          <w:b/>
          <w:color w:val="808080" w:themeColor="background1" w:themeShade="80"/>
        </w:rPr>
        <w:t>(s)</w:t>
      </w:r>
      <w:r w:rsidR="00126B33" w:rsidRPr="00CC674A">
        <w:rPr>
          <w:rStyle w:val="Strong"/>
          <w:rFonts w:asciiTheme="minorHAnsi" w:eastAsiaTheme="minorHAnsi" w:hAnsiTheme="minorHAnsi" w:cstheme="minorBidi"/>
          <w:b/>
          <w:color w:val="808080" w:themeColor="background1" w:themeShade="80"/>
        </w:rPr>
        <w:t xml:space="preserve"> is being sought</w:t>
      </w:r>
      <w:r w:rsidR="003020B5" w:rsidRPr="00CC674A">
        <w:rPr>
          <w:rStyle w:val="Strong"/>
          <w:rFonts w:asciiTheme="minorHAnsi" w:eastAsiaTheme="minorHAnsi" w:hAnsiTheme="minorHAnsi" w:cstheme="minorBidi"/>
          <w:b/>
          <w:color w:val="808080" w:themeColor="background1" w:themeShade="80"/>
        </w:rPr>
        <w:t>,</w:t>
      </w:r>
      <w:r w:rsidRPr="00CC674A">
        <w:rPr>
          <w:rStyle w:val="Strong"/>
          <w:rFonts w:asciiTheme="minorHAnsi" w:eastAsiaTheme="minorHAnsi" w:hAnsiTheme="minorHAnsi" w:cstheme="minorBidi"/>
          <w:b/>
          <w:color w:val="808080" w:themeColor="background1" w:themeShade="80"/>
        </w:rPr>
        <w:t xml:space="preserve"> please </w:t>
      </w:r>
      <w:r w:rsidR="00126B33" w:rsidRPr="00CC674A">
        <w:rPr>
          <w:rStyle w:val="Strong"/>
          <w:rFonts w:asciiTheme="minorHAnsi" w:eastAsiaTheme="minorHAnsi" w:hAnsiTheme="minorHAnsi" w:cstheme="minorBidi"/>
          <w:b/>
          <w:color w:val="808080" w:themeColor="background1" w:themeShade="80"/>
        </w:rPr>
        <w:t xml:space="preserve">list </w:t>
      </w:r>
      <w:r w:rsidRPr="00CC674A">
        <w:rPr>
          <w:rStyle w:val="Strong"/>
          <w:rFonts w:asciiTheme="minorHAnsi" w:eastAsiaTheme="minorHAnsi" w:hAnsiTheme="minorHAnsi" w:cstheme="minorBidi"/>
          <w:b/>
          <w:color w:val="808080" w:themeColor="background1" w:themeShade="80"/>
        </w:rPr>
        <w:t xml:space="preserve">the relevant MBS item number(s) </w:t>
      </w:r>
      <w:r w:rsidR="009C03FB" w:rsidRPr="00CC674A">
        <w:rPr>
          <w:rStyle w:val="Strong"/>
          <w:rFonts w:asciiTheme="minorHAnsi" w:eastAsiaTheme="minorHAnsi" w:hAnsiTheme="minorHAnsi" w:cstheme="minorBidi"/>
          <w:b/>
          <w:color w:val="808080" w:themeColor="background1" w:themeShade="80"/>
        </w:rPr>
        <w:t xml:space="preserve">that </w:t>
      </w:r>
      <w:r w:rsidR="00126B33" w:rsidRPr="00CC674A">
        <w:rPr>
          <w:rStyle w:val="Strong"/>
          <w:rFonts w:asciiTheme="minorHAnsi" w:eastAsiaTheme="minorHAnsi" w:hAnsiTheme="minorHAnsi" w:cstheme="minorBidi"/>
          <w:b/>
          <w:color w:val="808080" w:themeColor="background1" w:themeShade="80"/>
        </w:rPr>
        <w:t xml:space="preserve">are </w:t>
      </w:r>
      <w:r w:rsidR="005A6AB9" w:rsidRPr="00CC674A">
        <w:rPr>
          <w:rStyle w:val="Strong"/>
          <w:rFonts w:asciiTheme="minorHAnsi" w:eastAsiaTheme="minorHAnsi" w:hAnsiTheme="minorHAnsi" w:cstheme="minorBidi"/>
          <w:b/>
          <w:color w:val="808080" w:themeColor="background1" w:themeShade="80"/>
        </w:rPr>
        <w:t xml:space="preserve">to be </w:t>
      </w:r>
      <w:r w:rsidR="00126B33" w:rsidRPr="00CC674A">
        <w:rPr>
          <w:rStyle w:val="Strong"/>
          <w:rFonts w:asciiTheme="minorHAnsi" w:eastAsiaTheme="minorHAnsi" w:hAnsiTheme="minorHAnsi" w:cstheme="minorBidi"/>
          <w:b/>
          <w:color w:val="808080" w:themeColor="background1" w:themeShade="80"/>
        </w:rPr>
        <w:t xml:space="preserve">amended </w:t>
      </w:r>
      <w:r w:rsidR="005A6AB9" w:rsidRPr="00CC674A">
        <w:rPr>
          <w:rStyle w:val="Strong"/>
          <w:rFonts w:asciiTheme="minorHAnsi" w:eastAsiaTheme="minorHAnsi" w:hAnsiTheme="minorHAnsi" w:cstheme="minorBidi"/>
          <w:b/>
          <w:color w:val="808080" w:themeColor="background1" w:themeShade="80"/>
        </w:rPr>
        <w:t xml:space="preserve">to </w:t>
      </w:r>
      <w:r w:rsidR="00A93F58" w:rsidRPr="00CC674A">
        <w:rPr>
          <w:rStyle w:val="Strong"/>
          <w:rFonts w:asciiTheme="minorHAnsi" w:eastAsiaTheme="minorHAnsi" w:hAnsiTheme="minorHAnsi" w:cstheme="minorBidi"/>
          <w:b/>
          <w:color w:val="808080" w:themeColor="background1" w:themeShade="80"/>
        </w:rPr>
        <w:t xml:space="preserve">include </w:t>
      </w:r>
      <w:r w:rsidR="005A6AB9" w:rsidRPr="00CC674A">
        <w:rPr>
          <w:rStyle w:val="Strong"/>
          <w:rFonts w:asciiTheme="minorHAnsi" w:eastAsiaTheme="minorHAnsi" w:hAnsiTheme="minorHAnsi" w:cstheme="minorBidi"/>
          <w:b/>
          <w:color w:val="808080" w:themeColor="background1" w:themeShade="80"/>
        </w:rPr>
        <w:t>the proposed medical service</w:t>
      </w:r>
      <w:r w:rsidR="00802553" w:rsidRPr="00CC674A">
        <w:rPr>
          <w:rStyle w:val="Strong"/>
          <w:rFonts w:asciiTheme="minorHAnsi" w:eastAsiaTheme="minorHAnsi" w:hAnsiTheme="minorHAnsi" w:cstheme="minorBidi"/>
          <w:b/>
          <w:color w:val="808080" w:themeColor="background1" w:themeShade="80"/>
        </w:rPr>
        <w:t>:</w:t>
      </w:r>
      <w:r w:rsidR="00E06102" w:rsidRPr="00CC674A">
        <w:rPr>
          <w:rStyle w:val="Strong"/>
          <w:rFonts w:asciiTheme="minorHAnsi" w:eastAsiaTheme="minorHAnsi" w:hAnsiTheme="minorHAnsi" w:cstheme="minorBidi"/>
          <w:b/>
          <w:color w:val="808080" w:themeColor="background1" w:themeShade="80"/>
        </w:rPr>
        <w:t xml:space="preserve"> </w:t>
      </w:r>
    </w:p>
    <w:p w:rsidR="003D795C" w:rsidRPr="00CC674A" w:rsidRDefault="003D795C" w:rsidP="00A6491A">
      <w:pPr>
        <w:ind w:left="284"/>
        <w:rPr>
          <w:color w:val="808080" w:themeColor="background1" w:themeShade="80"/>
        </w:rPr>
      </w:pPr>
      <w:r w:rsidRPr="00CC674A">
        <w:rPr>
          <w:color w:val="808080" w:themeColor="background1" w:themeShade="80"/>
        </w:rPr>
        <w:fldChar w:fldCharType="begin">
          <w:ffData>
            <w:name w:val=""/>
            <w:enabled/>
            <w:calcOnExit w:val="0"/>
            <w:textInput>
              <w:default w:val="Insert relevant MBS item numbers here"/>
            </w:textInput>
          </w:ffData>
        </w:fldChar>
      </w:r>
      <w:r w:rsidRPr="00CC674A">
        <w:rPr>
          <w:color w:val="808080" w:themeColor="background1" w:themeShade="80"/>
        </w:rPr>
        <w:instrText xml:space="preserve"> FORMTEXT </w:instrText>
      </w:r>
      <w:r w:rsidRPr="00CC674A">
        <w:rPr>
          <w:color w:val="808080" w:themeColor="background1" w:themeShade="80"/>
        </w:rPr>
      </w:r>
      <w:r w:rsidRPr="00CC674A">
        <w:rPr>
          <w:color w:val="808080" w:themeColor="background1" w:themeShade="80"/>
        </w:rPr>
        <w:fldChar w:fldCharType="separate"/>
      </w:r>
      <w:r w:rsidRPr="00CC674A">
        <w:rPr>
          <w:noProof/>
          <w:color w:val="808080" w:themeColor="background1" w:themeShade="80"/>
        </w:rPr>
        <w:t>Insert relevant MBS item numbers here</w:t>
      </w:r>
      <w:r w:rsidRPr="00CC674A">
        <w:rPr>
          <w:color w:val="808080" w:themeColor="background1" w:themeShade="80"/>
        </w:rPr>
        <w:fldChar w:fldCharType="end"/>
      </w:r>
    </w:p>
    <w:p w:rsidR="006C0843" w:rsidRPr="00CC674A" w:rsidRDefault="006C0843" w:rsidP="00730C04">
      <w:pPr>
        <w:pStyle w:val="Heading2"/>
        <w:numPr>
          <w:ilvl w:val="0"/>
          <w:numId w:val="24"/>
        </w:numPr>
        <w:rPr>
          <w:rStyle w:val="Strong"/>
          <w:rFonts w:asciiTheme="minorHAnsi" w:eastAsiaTheme="minorHAnsi" w:hAnsiTheme="minorHAnsi" w:cstheme="minorBidi"/>
          <w:b/>
          <w:color w:val="808080" w:themeColor="background1" w:themeShade="80"/>
        </w:rPr>
      </w:pPr>
      <w:r w:rsidRPr="00CC674A">
        <w:rPr>
          <w:rStyle w:val="Strong"/>
          <w:rFonts w:asciiTheme="minorHAnsi" w:eastAsiaTheme="minorHAnsi" w:hAnsiTheme="minorHAnsi" w:cstheme="minorBidi"/>
          <w:b/>
          <w:color w:val="808080" w:themeColor="background1" w:themeShade="80"/>
        </w:rPr>
        <w:t>If an amendment to an existing item</w:t>
      </w:r>
      <w:r w:rsidR="003E30FB" w:rsidRPr="00CC674A">
        <w:rPr>
          <w:rStyle w:val="Strong"/>
          <w:rFonts w:asciiTheme="minorHAnsi" w:eastAsiaTheme="minorHAnsi" w:hAnsiTheme="minorHAnsi" w:cstheme="minorBidi"/>
          <w:b/>
          <w:color w:val="808080" w:themeColor="background1" w:themeShade="80"/>
        </w:rPr>
        <w:t>(s)</w:t>
      </w:r>
      <w:r w:rsidRPr="00CC674A">
        <w:rPr>
          <w:rStyle w:val="Strong"/>
          <w:rFonts w:asciiTheme="minorHAnsi" w:eastAsiaTheme="minorHAnsi" w:hAnsiTheme="minorHAnsi" w:cstheme="minorBidi"/>
          <w:b/>
          <w:color w:val="808080" w:themeColor="background1" w:themeShade="80"/>
        </w:rPr>
        <w:t xml:space="preserve"> is being sought, what is the nature of the amendment</w:t>
      </w:r>
      <w:r w:rsidR="00C01121" w:rsidRPr="00CC674A">
        <w:rPr>
          <w:rStyle w:val="Strong"/>
          <w:rFonts w:asciiTheme="minorHAnsi" w:eastAsiaTheme="minorHAnsi" w:hAnsiTheme="minorHAnsi" w:cstheme="minorBidi"/>
          <w:b/>
          <w:color w:val="808080" w:themeColor="background1" w:themeShade="80"/>
        </w:rPr>
        <w:t>(s)</w:t>
      </w:r>
      <w:r w:rsidR="00E06102" w:rsidRPr="00CC674A">
        <w:rPr>
          <w:rStyle w:val="Strong"/>
          <w:rFonts w:asciiTheme="minorHAnsi" w:eastAsiaTheme="minorHAnsi" w:hAnsiTheme="minorHAnsi" w:cstheme="minorBidi"/>
          <w:b/>
          <w:color w:val="808080" w:themeColor="background1" w:themeShade="80"/>
        </w:rPr>
        <w:t>?</w:t>
      </w:r>
    </w:p>
    <w:p w:rsidR="002A270B" w:rsidRPr="00CC674A" w:rsidRDefault="002A270B" w:rsidP="004A263B">
      <w:pPr>
        <w:pStyle w:val="ListParagraph"/>
        <w:numPr>
          <w:ilvl w:val="0"/>
          <w:numId w:val="34"/>
        </w:numPr>
        <w:spacing w:before="0" w:after="0"/>
        <w:ind w:left="851" w:hanging="425"/>
        <w:rPr>
          <w:rStyle w:val="Strong"/>
          <w:b w:val="0"/>
          <w:color w:val="808080" w:themeColor="background1" w:themeShade="80"/>
        </w:rPr>
      </w:pPr>
      <w:r w:rsidRPr="00CC674A">
        <w:rPr>
          <w:b/>
          <w:color w:val="808080" w:themeColor="background1" w:themeShade="80"/>
          <w:szCs w:val="20"/>
        </w:rPr>
        <w:fldChar w:fldCharType="begin">
          <w:ffData>
            <w:name w:val="Check2"/>
            <w:enabled/>
            <w:calcOnExit w:val="0"/>
            <w:checkBox>
              <w:sizeAuto/>
              <w:default w:val="0"/>
            </w:checkBox>
          </w:ffData>
        </w:fldChar>
      </w:r>
      <w:r w:rsidRPr="00CC674A">
        <w:rPr>
          <w:b/>
          <w:color w:val="808080" w:themeColor="background1" w:themeShade="80"/>
          <w:szCs w:val="20"/>
        </w:rPr>
        <w:instrText xml:space="preserve"> FORMCHECKBOX </w:instrText>
      </w:r>
      <w:r w:rsidR="00DD4A3B">
        <w:rPr>
          <w:b/>
          <w:color w:val="808080" w:themeColor="background1" w:themeShade="80"/>
          <w:szCs w:val="20"/>
        </w:rPr>
      </w:r>
      <w:r w:rsidR="00DD4A3B">
        <w:rPr>
          <w:b/>
          <w:color w:val="808080" w:themeColor="background1" w:themeShade="80"/>
          <w:szCs w:val="20"/>
        </w:rPr>
        <w:fldChar w:fldCharType="separate"/>
      </w:r>
      <w:r w:rsidRPr="00CC674A">
        <w:rPr>
          <w:b/>
          <w:color w:val="808080" w:themeColor="background1" w:themeShade="80"/>
          <w:szCs w:val="20"/>
        </w:rPr>
        <w:fldChar w:fldCharType="end"/>
      </w:r>
      <w:r w:rsidRPr="00CC674A">
        <w:rPr>
          <w:b/>
          <w:color w:val="808080" w:themeColor="background1" w:themeShade="80"/>
          <w:szCs w:val="20"/>
        </w:rPr>
        <w:t xml:space="preserve"> </w:t>
      </w:r>
      <w:r w:rsidRPr="00CC674A">
        <w:rPr>
          <w:rStyle w:val="Strong"/>
          <w:b w:val="0"/>
          <w:color w:val="808080" w:themeColor="background1" w:themeShade="80"/>
        </w:rPr>
        <w:t>An amendment to the way the service is clinically delivered under the existing item(s)</w:t>
      </w:r>
    </w:p>
    <w:p w:rsidR="002A270B" w:rsidRPr="00CC674A" w:rsidRDefault="002A270B" w:rsidP="004A263B">
      <w:pPr>
        <w:pStyle w:val="ListParagraph"/>
        <w:numPr>
          <w:ilvl w:val="0"/>
          <w:numId w:val="34"/>
        </w:numPr>
        <w:spacing w:before="0" w:after="0"/>
        <w:ind w:left="851" w:hanging="425"/>
        <w:rPr>
          <w:rStyle w:val="Strong"/>
          <w:b w:val="0"/>
          <w:color w:val="808080" w:themeColor="background1" w:themeShade="80"/>
        </w:rPr>
      </w:pPr>
      <w:r w:rsidRPr="00CC674A">
        <w:rPr>
          <w:b/>
          <w:color w:val="808080" w:themeColor="background1" w:themeShade="80"/>
          <w:szCs w:val="20"/>
        </w:rPr>
        <w:fldChar w:fldCharType="begin">
          <w:ffData>
            <w:name w:val="Check2"/>
            <w:enabled/>
            <w:calcOnExit w:val="0"/>
            <w:checkBox>
              <w:sizeAuto/>
              <w:default w:val="0"/>
            </w:checkBox>
          </w:ffData>
        </w:fldChar>
      </w:r>
      <w:r w:rsidRPr="00CC674A">
        <w:rPr>
          <w:b/>
          <w:color w:val="808080" w:themeColor="background1" w:themeShade="80"/>
          <w:szCs w:val="20"/>
        </w:rPr>
        <w:instrText xml:space="preserve"> FORMCHECKBOX </w:instrText>
      </w:r>
      <w:r w:rsidR="00DD4A3B">
        <w:rPr>
          <w:b/>
          <w:color w:val="808080" w:themeColor="background1" w:themeShade="80"/>
          <w:szCs w:val="20"/>
        </w:rPr>
      </w:r>
      <w:r w:rsidR="00DD4A3B">
        <w:rPr>
          <w:b/>
          <w:color w:val="808080" w:themeColor="background1" w:themeShade="80"/>
          <w:szCs w:val="20"/>
        </w:rPr>
        <w:fldChar w:fldCharType="separate"/>
      </w:r>
      <w:r w:rsidRPr="00CC674A">
        <w:rPr>
          <w:b/>
          <w:color w:val="808080" w:themeColor="background1" w:themeShade="80"/>
          <w:szCs w:val="20"/>
        </w:rPr>
        <w:fldChar w:fldCharType="end"/>
      </w:r>
      <w:r w:rsidRPr="00CC674A">
        <w:rPr>
          <w:b/>
          <w:color w:val="808080" w:themeColor="background1" w:themeShade="80"/>
          <w:szCs w:val="20"/>
        </w:rPr>
        <w:t xml:space="preserve"> </w:t>
      </w:r>
      <w:r w:rsidRPr="00CC674A">
        <w:rPr>
          <w:rStyle w:val="Strong"/>
          <w:b w:val="0"/>
          <w:color w:val="808080" w:themeColor="background1" w:themeShade="80"/>
        </w:rPr>
        <w:t>An amendment to the patient population under the existing item(s)</w:t>
      </w:r>
    </w:p>
    <w:p w:rsidR="002A270B" w:rsidRPr="00CC674A" w:rsidRDefault="002A270B" w:rsidP="004A263B">
      <w:pPr>
        <w:pStyle w:val="ListParagraph"/>
        <w:numPr>
          <w:ilvl w:val="0"/>
          <w:numId w:val="34"/>
        </w:numPr>
        <w:spacing w:before="0" w:after="0"/>
        <w:ind w:left="851" w:hanging="425"/>
        <w:rPr>
          <w:rStyle w:val="Strong"/>
          <w:b w:val="0"/>
          <w:color w:val="808080" w:themeColor="background1" w:themeShade="80"/>
        </w:rPr>
      </w:pPr>
      <w:r w:rsidRPr="00CC674A">
        <w:rPr>
          <w:b/>
          <w:color w:val="808080" w:themeColor="background1" w:themeShade="80"/>
          <w:szCs w:val="20"/>
        </w:rPr>
        <w:fldChar w:fldCharType="begin">
          <w:ffData>
            <w:name w:val="Check2"/>
            <w:enabled/>
            <w:calcOnExit w:val="0"/>
            <w:checkBox>
              <w:sizeAuto/>
              <w:default w:val="0"/>
            </w:checkBox>
          </w:ffData>
        </w:fldChar>
      </w:r>
      <w:r w:rsidRPr="00CC674A">
        <w:rPr>
          <w:b/>
          <w:color w:val="808080" w:themeColor="background1" w:themeShade="80"/>
          <w:szCs w:val="20"/>
        </w:rPr>
        <w:instrText xml:space="preserve"> FORMCHECKBOX </w:instrText>
      </w:r>
      <w:r w:rsidR="00DD4A3B">
        <w:rPr>
          <w:b/>
          <w:color w:val="808080" w:themeColor="background1" w:themeShade="80"/>
          <w:szCs w:val="20"/>
        </w:rPr>
      </w:r>
      <w:r w:rsidR="00DD4A3B">
        <w:rPr>
          <w:b/>
          <w:color w:val="808080" w:themeColor="background1" w:themeShade="80"/>
          <w:szCs w:val="20"/>
        </w:rPr>
        <w:fldChar w:fldCharType="separate"/>
      </w:r>
      <w:r w:rsidRPr="00CC674A">
        <w:rPr>
          <w:b/>
          <w:color w:val="808080" w:themeColor="background1" w:themeShade="80"/>
          <w:szCs w:val="20"/>
        </w:rPr>
        <w:fldChar w:fldCharType="end"/>
      </w:r>
      <w:r w:rsidRPr="00CC674A">
        <w:rPr>
          <w:b/>
          <w:color w:val="808080" w:themeColor="background1" w:themeShade="80"/>
          <w:szCs w:val="20"/>
        </w:rPr>
        <w:t xml:space="preserve"> </w:t>
      </w:r>
      <w:r w:rsidRPr="00CC674A">
        <w:rPr>
          <w:rStyle w:val="Strong"/>
          <w:b w:val="0"/>
          <w:color w:val="808080" w:themeColor="background1" w:themeShade="80"/>
        </w:rPr>
        <w:t>An amendment to the schedule fee of the existing item(s)</w:t>
      </w:r>
    </w:p>
    <w:p w:rsidR="002A270B" w:rsidRPr="00CC674A" w:rsidRDefault="002A270B" w:rsidP="004A263B">
      <w:pPr>
        <w:pStyle w:val="ListParagraph"/>
        <w:numPr>
          <w:ilvl w:val="0"/>
          <w:numId w:val="34"/>
        </w:numPr>
        <w:spacing w:before="0" w:after="0"/>
        <w:ind w:left="851" w:hanging="425"/>
        <w:rPr>
          <w:rStyle w:val="Strong"/>
          <w:b w:val="0"/>
          <w:color w:val="808080" w:themeColor="background1" w:themeShade="80"/>
        </w:rPr>
      </w:pPr>
      <w:r w:rsidRPr="00CC674A">
        <w:rPr>
          <w:b/>
          <w:color w:val="808080" w:themeColor="background1" w:themeShade="80"/>
          <w:szCs w:val="20"/>
        </w:rPr>
        <w:fldChar w:fldCharType="begin">
          <w:ffData>
            <w:name w:val="Check2"/>
            <w:enabled/>
            <w:calcOnExit w:val="0"/>
            <w:checkBox>
              <w:sizeAuto/>
              <w:default w:val="0"/>
            </w:checkBox>
          </w:ffData>
        </w:fldChar>
      </w:r>
      <w:r w:rsidRPr="00CC674A">
        <w:rPr>
          <w:b/>
          <w:color w:val="808080" w:themeColor="background1" w:themeShade="80"/>
          <w:szCs w:val="20"/>
        </w:rPr>
        <w:instrText xml:space="preserve"> FORMCHECKBOX </w:instrText>
      </w:r>
      <w:r w:rsidR="00DD4A3B">
        <w:rPr>
          <w:b/>
          <w:color w:val="808080" w:themeColor="background1" w:themeShade="80"/>
          <w:szCs w:val="20"/>
        </w:rPr>
      </w:r>
      <w:r w:rsidR="00DD4A3B">
        <w:rPr>
          <w:b/>
          <w:color w:val="808080" w:themeColor="background1" w:themeShade="80"/>
          <w:szCs w:val="20"/>
        </w:rPr>
        <w:fldChar w:fldCharType="separate"/>
      </w:r>
      <w:r w:rsidRPr="00CC674A">
        <w:rPr>
          <w:b/>
          <w:color w:val="808080" w:themeColor="background1" w:themeShade="80"/>
          <w:szCs w:val="20"/>
        </w:rPr>
        <w:fldChar w:fldCharType="end"/>
      </w:r>
      <w:r w:rsidRPr="00CC674A">
        <w:rPr>
          <w:b/>
          <w:color w:val="808080" w:themeColor="background1" w:themeShade="80"/>
          <w:szCs w:val="20"/>
        </w:rPr>
        <w:t xml:space="preserve"> </w:t>
      </w:r>
      <w:r w:rsidRPr="00CC674A">
        <w:rPr>
          <w:rStyle w:val="Strong"/>
          <w:b w:val="0"/>
          <w:color w:val="808080" w:themeColor="background1" w:themeShade="80"/>
        </w:rPr>
        <w:t>An amendment to the time and complexity of an existing item(s)</w:t>
      </w:r>
    </w:p>
    <w:p w:rsidR="002A270B" w:rsidRPr="00CC674A" w:rsidRDefault="002A270B" w:rsidP="004A263B">
      <w:pPr>
        <w:pStyle w:val="ListParagraph"/>
        <w:numPr>
          <w:ilvl w:val="0"/>
          <w:numId w:val="34"/>
        </w:numPr>
        <w:spacing w:before="0" w:after="0"/>
        <w:ind w:left="851" w:hanging="425"/>
        <w:rPr>
          <w:rStyle w:val="Strong"/>
          <w:b w:val="0"/>
          <w:color w:val="808080" w:themeColor="background1" w:themeShade="80"/>
        </w:rPr>
      </w:pPr>
      <w:r w:rsidRPr="00CC674A">
        <w:rPr>
          <w:b/>
          <w:color w:val="808080" w:themeColor="background1" w:themeShade="80"/>
          <w:szCs w:val="20"/>
        </w:rPr>
        <w:fldChar w:fldCharType="begin">
          <w:ffData>
            <w:name w:val="Check2"/>
            <w:enabled/>
            <w:calcOnExit w:val="0"/>
            <w:checkBox>
              <w:sizeAuto/>
              <w:default w:val="0"/>
            </w:checkBox>
          </w:ffData>
        </w:fldChar>
      </w:r>
      <w:r w:rsidRPr="00CC674A">
        <w:rPr>
          <w:b/>
          <w:color w:val="808080" w:themeColor="background1" w:themeShade="80"/>
          <w:szCs w:val="20"/>
        </w:rPr>
        <w:instrText xml:space="preserve"> FORMCHECKBOX </w:instrText>
      </w:r>
      <w:r w:rsidR="00DD4A3B">
        <w:rPr>
          <w:b/>
          <w:color w:val="808080" w:themeColor="background1" w:themeShade="80"/>
          <w:szCs w:val="20"/>
        </w:rPr>
      </w:r>
      <w:r w:rsidR="00DD4A3B">
        <w:rPr>
          <w:b/>
          <w:color w:val="808080" w:themeColor="background1" w:themeShade="80"/>
          <w:szCs w:val="20"/>
        </w:rPr>
        <w:fldChar w:fldCharType="separate"/>
      </w:r>
      <w:r w:rsidRPr="00CC674A">
        <w:rPr>
          <w:b/>
          <w:color w:val="808080" w:themeColor="background1" w:themeShade="80"/>
          <w:szCs w:val="20"/>
        </w:rPr>
        <w:fldChar w:fldCharType="end"/>
      </w:r>
      <w:r w:rsidRPr="00CC674A">
        <w:rPr>
          <w:b/>
          <w:color w:val="808080" w:themeColor="background1" w:themeShade="80"/>
          <w:szCs w:val="20"/>
        </w:rPr>
        <w:t xml:space="preserve"> </w:t>
      </w:r>
      <w:r w:rsidRPr="00CC674A">
        <w:rPr>
          <w:rStyle w:val="Strong"/>
          <w:b w:val="0"/>
          <w:color w:val="808080" w:themeColor="background1" w:themeShade="80"/>
        </w:rPr>
        <w:t>Access to an existing item(s) by a different health practitioner group</w:t>
      </w:r>
    </w:p>
    <w:p w:rsidR="002A270B" w:rsidRPr="00CC674A" w:rsidRDefault="002A270B" w:rsidP="004A263B">
      <w:pPr>
        <w:pStyle w:val="ListParagraph"/>
        <w:numPr>
          <w:ilvl w:val="0"/>
          <w:numId w:val="34"/>
        </w:numPr>
        <w:spacing w:before="0" w:after="0"/>
        <w:ind w:left="851" w:hanging="425"/>
        <w:rPr>
          <w:rStyle w:val="Strong"/>
          <w:b w:val="0"/>
          <w:color w:val="808080" w:themeColor="background1" w:themeShade="80"/>
        </w:rPr>
      </w:pPr>
      <w:r w:rsidRPr="00CC674A">
        <w:rPr>
          <w:b/>
          <w:color w:val="808080" w:themeColor="background1" w:themeShade="80"/>
          <w:szCs w:val="20"/>
        </w:rPr>
        <w:fldChar w:fldCharType="begin">
          <w:ffData>
            <w:name w:val="Check2"/>
            <w:enabled/>
            <w:calcOnExit w:val="0"/>
            <w:checkBox>
              <w:sizeAuto/>
              <w:default w:val="0"/>
            </w:checkBox>
          </w:ffData>
        </w:fldChar>
      </w:r>
      <w:r w:rsidRPr="00CC674A">
        <w:rPr>
          <w:b/>
          <w:color w:val="808080" w:themeColor="background1" w:themeShade="80"/>
          <w:szCs w:val="20"/>
        </w:rPr>
        <w:instrText xml:space="preserve"> FORMCHECKBOX </w:instrText>
      </w:r>
      <w:r w:rsidR="00DD4A3B">
        <w:rPr>
          <w:b/>
          <w:color w:val="808080" w:themeColor="background1" w:themeShade="80"/>
          <w:szCs w:val="20"/>
        </w:rPr>
      </w:r>
      <w:r w:rsidR="00DD4A3B">
        <w:rPr>
          <w:b/>
          <w:color w:val="808080" w:themeColor="background1" w:themeShade="80"/>
          <w:szCs w:val="20"/>
        </w:rPr>
        <w:fldChar w:fldCharType="separate"/>
      </w:r>
      <w:r w:rsidRPr="00CC674A">
        <w:rPr>
          <w:b/>
          <w:color w:val="808080" w:themeColor="background1" w:themeShade="80"/>
          <w:szCs w:val="20"/>
        </w:rPr>
        <w:fldChar w:fldCharType="end"/>
      </w:r>
      <w:r w:rsidRPr="00CC674A">
        <w:rPr>
          <w:b/>
          <w:color w:val="808080" w:themeColor="background1" w:themeShade="80"/>
          <w:szCs w:val="20"/>
        </w:rPr>
        <w:t xml:space="preserve"> </w:t>
      </w:r>
      <w:r w:rsidRPr="00CC674A">
        <w:rPr>
          <w:rStyle w:val="Strong"/>
          <w:b w:val="0"/>
          <w:color w:val="808080" w:themeColor="background1" w:themeShade="80"/>
        </w:rPr>
        <w:t>Minor amendments to the item descriptor that does not affect how the service is delivered</w:t>
      </w:r>
    </w:p>
    <w:p w:rsidR="002A270B" w:rsidRPr="00CC674A" w:rsidRDefault="002A270B" w:rsidP="004A263B">
      <w:pPr>
        <w:pStyle w:val="ListParagraph"/>
        <w:numPr>
          <w:ilvl w:val="0"/>
          <w:numId w:val="34"/>
        </w:numPr>
        <w:spacing w:before="0" w:after="0"/>
        <w:ind w:left="851" w:hanging="425"/>
        <w:rPr>
          <w:rStyle w:val="Strong"/>
          <w:b w:val="0"/>
          <w:color w:val="808080" w:themeColor="background1" w:themeShade="80"/>
        </w:rPr>
      </w:pPr>
      <w:r w:rsidRPr="00CC674A">
        <w:rPr>
          <w:b/>
          <w:color w:val="808080" w:themeColor="background1" w:themeShade="80"/>
          <w:szCs w:val="20"/>
        </w:rPr>
        <w:fldChar w:fldCharType="begin">
          <w:ffData>
            <w:name w:val="Check2"/>
            <w:enabled/>
            <w:calcOnExit w:val="0"/>
            <w:checkBox>
              <w:sizeAuto/>
              <w:default w:val="0"/>
            </w:checkBox>
          </w:ffData>
        </w:fldChar>
      </w:r>
      <w:r w:rsidRPr="00CC674A">
        <w:rPr>
          <w:b/>
          <w:color w:val="808080" w:themeColor="background1" w:themeShade="80"/>
          <w:szCs w:val="20"/>
        </w:rPr>
        <w:instrText xml:space="preserve"> FORMCHECKBOX </w:instrText>
      </w:r>
      <w:r w:rsidR="00DD4A3B">
        <w:rPr>
          <w:b/>
          <w:color w:val="808080" w:themeColor="background1" w:themeShade="80"/>
          <w:szCs w:val="20"/>
        </w:rPr>
      </w:r>
      <w:r w:rsidR="00DD4A3B">
        <w:rPr>
          <w:b/>
          <w:color w:val="808080" w:themeColor="background1" w:themeShade="80"/>
          <w:szCs w:val="20"/>
        </w:rPr>
        <w:fldChar w:fldCharType="separate"/>
      </w:r>
      <w:r w:rsidRPr="00CC674A">
        <w:rPr>
          <w:b/>
          <w:color w:val="808080" w:themeColor="background1" w:themeShade="80"/>
          <w:szCs w:val="20"/>
        </w:rPr>
        <w:fldChar w:fldCharType="end"/>
      </w:r>
      <w:r w:rsidRPr="00CC674A">
        <w:rPr>
          <w:b/>
          <w:color w:val="808080" w:themeColor="background1" w:themeShade="80"/>
          <w:szCs w:val="20"/>
        </w:rPr>
        <w:t xml:space="preserve"> </w:t>
      </w:r>
      <w:r w:rsidRPr="00CC674A">
        <w:rPr>
          <w:rStyle w:val="Strong"/>
          <w:b w:val="0"/>
          <w:color w:val="808080" w:themeColor="background1" w:themeShade="80"/>
        </w:rPr>
        <w:t>An amendment to an existing specific single consultation item</w:t>
      </w:r>
    </w:p>
    <w:p w:rsidR="002A270B" w:rsidRPr="00CC674A" w:rsidRDefault="002A270B" w:rsidP="004A263B">
      <w:pPr>
        <w:pStyle w:val="ListParagraph"/>
        <w:numPr>
          <w:ilvl w:val="0"/>
          <w:numId w:val="34"/>
        </w:numPr>
        <w:spacing w:before="0" w:after="0"/>
        <w:ind w:left="851" w:hanging="425"/>
        <w:rPr>
          <w:rStyle w:val="Strong"/>
          <w:b w:val="0"/>
          <w:color w:val="808080" w:themeColor="background1" w:themeShade="80"/>
        </w:rPr>
      </w:pPr>
      <w:r w:rsidRPr="00CC674A">
        <w:rPr>
          <w:b/>
          <w:color w:val="808080" w:themeColor="background1" w:themeShade="80"/>
          <w:szCs w:val="20"/>
        </w:rPr>
        <w:fldChar w:fldCharType="begin">
          <w:ffData>
            <w:name w:val="Check2"/>
            <w:enabled/>
            <w:calcOnExit w:val="0"/>
            <w:checkBox>
              <w:sizeAuto/>
              <w:default w:val="0"/>
            </w:checkBox>
          </w:ffData>
        </w:fldChar>
      </w:r>
      <w:r w:rsidRPr="00CC674A">
        <w:rPr>
          <w:b/>
          <w:color w:val="808080" w:themeColor="background1" w:themeShade="80"/>
          <w:szCs w:val="20"/>
        </w:rPr>
        <w:instrText xml:space="preserve"> FORMCHECKBOX </w:instrText>
      </w:r>
      <w:r w:rsidR="00DD4A3B">
        <w:rPr>
          <w:b/>
          <w:color w:val="808080" w:themeColor="background1" w:themeShade="80"/>
          <w:szCs w:val="20"/>
        </w:rPr>
      </w:r>
      <w:r w:rsidR="00DD4A3B">
        <w:rPr>
          <w:b/>
          <w:color w:val="808080" w:themeColor="background1" w:themeShade="80"/>
          <w:szCs w:val="20"/>
        </w:rPr>
        <w:fldChar w:fldCharType="separate"/>
      </w:r>
      <w:r w:rsidRPr="00CC674A">
        <w:rPr>
          <w:b/>
          <w:color w:val="808080" w:themeColor="background1" w:themeShade="80"/>
          <w:szCs w:val="20"/>
        </w:rPr>
        <w:fldChar w:fldCharType="end"/>
      </w:r>
      <w:r w:rsidRPr="00CC674A">
        <w:rPr>
          <w:b/>
          <w:color w:val="808080" w:themeColor="background1" w:themeShade="80"/>
          <w:szCs w:val="20"/>
        </w:rPr>
        <w:t xml:space="preserve"> </w:t>
      </w:r>
      <w:r w:rsidRPr="00CC674A">
        <w:rPr>
          <w:rStyle w:val="Strong"/>
          <w:b w:val="0"/>
          <w:color w:val="808080" w:themeColor="background1" w:themeShade="80"/>
        </w:rPr>
        <w:t>An amendment to an existing global consultation item(s)</w:t>
      </w:r>
    </w:p>
    <w:p w:rsidR="002A270B" w:rsidRPr="00CC674A" w:rsidRDefault="004A263B" w:rsidP="004A263B">
      <w:pPr>
        <w:pStyle w:val="ListParagraph"/>
        <w:numPr>
          <w:ilvl w:val="0"/>
          <w:numId w:val="34"/>
        </w:numPr>
        <w:ind w:left="851" w:hanging="425"/>
        <w:rPr>
          <w:rStyle w:val="Strong"/>
          <w:color w:val="808080" w:themeColor="background1" w:themeShade="80"/>
        </w:rPr>
      </w:pPr>
      <w:r w:rsidRPr="00CC674A">
        <w:rPr>
          <w:b/>
          <w:color w:val="808080" w:themeColor="background1" w:themeShade="80"/>
          <w:szCs w:val="20"/>
        </w:rPr>
        <w:fldChar w:fldCharType="begin">
          <w:ffData>
            <w:name w:val="Check2"/>
            <w:enabled/>
            <w:calcOnExit w:val="0"/>
            <w:checkBox>
              <w:sizeAuto/>
              <w:default w:val="0"/>
            </w:checkBox>
          </w:ffData>
        </w:fldChar>
      </w:r>
      <w:r w:rsidRPr="00CC674A">
        <w:rPr>
          <w:b/>
          <w:color w:val="808080" w:themeColor="background1" w:themeShade="80"/>
          <w:szCs w:val="20"/>
        </w:rPr>
        <w:instrText xml:space="preserve"> FORMCHECKBOX </w:instrText>
      </w:r>
      <w:r w:rsidR="00DD4A3B">
        <w:rPr>
          <w:b/>
          <w:color w:val="808080" w:themeColor="background1" w:themeShade="80"/>
          <w:szCs w:val="20"/>
        </w:rPr>
      </w:r>
      <w:r w:rsidR="00DD4A3B">
        <w:rPr>
          <w:b/>
          <w:color w:val="808080" w:themeColor="background1" w:themeShade="80"/>
          <w:szCs w:val="20"/>
        </w:rPr>
        <w:fldChar w:fldCharType="separate"/>
      </w:r>
      <w:r w:rsidRPr="00CC674A">
        <w:rPr>
          <w:b/>
          <w:color w:val="808080" w:themeColor="background1" w:themeShade="80"/>
          <w:szCs w:val="20"/>
        </w:rPr>
        <w:fldChar w:fldCharType="end"/>
      </w:r>
      <w:r w:rsidRPr="00CC674A">
        <w:rPr>
          <w:b/>
          <w:color w:val="808080" w:themeColor="background1" w:themeShade="80"/>
          <w:szCs w:val="20"/>
        </w:rPr>
        <w:t xml:space="preserve"> </w:t>
      </w:r>
      <w:r w:rsidR="002A270B" w:rsidRPr="00CC674A">
        <w:rPr>
          <w:rStyle w:val="Strong"/>
          <w:b w:val="0"/>
          <w:color w:val="808080" w:themeColor="background1" w:themeShade="80"/>
        </w:rPr>
        <w:t>Other (please describe below)</w:t>
      </w:r>
      <w:r w:rsidR="00A6491A" w:rsidRPr="00CC674A">
        <w:rPr>
          <w:rStyle w:val="Strong"/>
          <w:b w:val="0"/>
          <w:color w:val="808080" w:themeColor="background1" w:themeShade="80"/>
        </w:rPr>
        <w:t>:</w:t>
      </w:r>
    </w:p>
    <w:p w:rsidR="002A270B" w:rsidRPr="00CC674A" w:rsidRDefault="00A6594E" w:rsidP="00A6491A">
      <w:pPr>
        <w:ind w:left="284"/>
        <w:rPr>
          <w:color w:val="808080" w:themeColor="background1" w:themeShade="80"/>
        </w:rPr>
      </w:pPr>
      <w:r w:rsidRPr="00CC674A">
        <w:rPr>
          <w:color w:val="808080" w:themeColor="background1" w:themeShade="80"/>
        </w:rPr>
        <w:fldChar w:fldCharType="begin">
          <w:ffData>
            <w:name w:val=""/>
            <w:enabled/>
            <w:calcOnExit w:val="0"/>
            <w:textInput>
              <w:default w:val="Insert description of 'other' amendment here"/>
            </w:textInput>
          </w:ffData>
        </w:fldChar>
      </w:r>
      <w:r w:rsidRPr="00CC674A">
        <w:rPr>
          <w:color w:val="808080" w:themeColor="background1" w:themeShade="80"/>
        </w:rPr>
        <w:instrText xml:space="preserve"> FORMTEXT </w:instrText>
      </w:r>
      <w:r w:rsidRPr="00CC674A">
        <w:rPr>
          <w:color w:val="808080" w:themeColor="background1" w:themeShade="80"/>
        </w:rPr>
      </w:r>
      <w:r w:rsidRPr="00CC674A">
        <w:rPr>
          <w:color w:val="808080" w:themeColor="background1" w:themeShade="80"/>
        </w:rPr>
        <w:fldChar w:fldCharType="separate"/>
      </w:r>
      <w:r w:rsidRPr="00CC674A">
        <w:rPr>
          <w:noProof/>
          <w:color w:val="808080" w:themeColor="background1" w:themeShade="80"/>
        </w:rPr>
        <w:t>Insert description of 'other' amendment here</w:t>
      </w:r>
      <w:r w:rsidRPr="00CC674A">
        <w:rPr>
          <w:color w:val="808080" w:themeColor="background1" w:themeShade="80"/>
        </w:rPr>
        <w:fldChar w:fldCharType="end"/>
      </w:r>
    </w:p>
    <w:p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lastRenderedPageBreak/>
        <w:fldChar w:fldCharType="begin">
          <w:ffData>
            <w:name w:val="Check2"/>
            <w:enabled/>
            <w:calcOnExit w:val="0"/>
            <w:checkBox>
              <w:sizeAuto/>
              <w:default w:val="0"/>
            </w:checkBox>
          </w:ffData>
        </w:fldChar>
      </w:r>
      <w:r w:rsidRPr="00AA2CFE">
        <w:rPr>
          <w:b/>
          <w:szCs w:val="20"/>
        </w:rPr>
        <w:instrText xml:space="preserve"> FORMCHECKBOX </w:instrText>
      </w:r>
      <w:r w:rsidR="00DD4A3B">
        <w:rPr>
          <w:b/>
          <w:szCs w:val="20"/>
        </w:rPr>
      </w:r>
      <w:r w:rsidR="00DD4A3B">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rsidR="006B6390" w:rsidRPr="00AA2CFE" w:rsidRDefault="00CC674A" w:rsidP="00AA2CFE">
      <w:pPr>
        <w:pStyle w:val="ListParagraph"/>
        <w:numPr>
          <w:ilvl w:val="0"/>
          <w:numId w:val="35"/>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DD4A3B">
        <w:rPr>
          <w:b/>
          <w:szCs w:val="20"/>
        </w:rPr>
      </w:r>
      <w:r w:rsidR="00DD4A3B">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DD4A3B">
        <w:rPr>
          <w:b/>
          <w:szCs w:val="20"/>
        </w:rPr>
      </w:r>
      <w:r w:rsidR="00DD4A3B">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DD4A3B">
        <w:rPr>
          <w:b/>
          <w:szCs w:val="20"/>
        </w:rPr>
      </w:r>
      <w:r w:rsidR="00DD4A3B">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D4A3B">
        <w:rPr>
          <w:szCs w:val="20"/>
        </w:rPr>
      </w:r>
      <w:r w:rsidR="00DD4A3B">
        <w:rPr>
          <w:szCs w:val="20"/>
        </w:rPr>
        <w:fldChar w:fldCharType="separate"/>
      </w:r>
      <w:r w:rsidRPr="000A5B32">
        <w:rPr>
          <w:szCs w:val="20"/>
        </w:rPr>
        <w:fldChar w:fldCharType="end"/>
      </w:r>
      <w:r w:rsidRPr="000A5B32">
        <w:rPr>
          <w:szCs w:val="20"/>
        </w:rPr>
        <w:t xml:space="preserve"> Yes</w:t>
      </w:r>
    </w:p>
    <w:p w:rsidR="00626365" w:rsidRDefault="00CC674A" w:rsidP="00626365">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D4A3B">
        <w:rPr>
          <w:szCs w:val="20"/>
        </w:rPr>
      </w:r>
      <w:r w:rsidR="00DD4A3B">
        <w:rPr>
          <w:szCs w:val="20"/>
        </w:rPr>
        <w:fldChar w:fldCharType="separate"/>
      </w:r>
      <w:r>
        <w:rPr>
          <w:szCs w:val="20"/>
        </w:rPr>
        <w:fldChar w:fldCharType="end"/>
      </w:r>
      <w:r w:rsidR="000A5B32" w:rsidRPr="000A5B32">
        <w:rPr>
          <w:szCs w:val="20"/>
        </w:rPr>
        <w:t xml:space="preserve"> No</w:t>
      </w:r>
    </w:p>
    <w:p w:rsidR="00626365" w:rsidRDefault="00626365" w:rsidP="00626365">
      <w:pPr>
        <w:spacing w:before="0" w:after="0"/>
        <w:ind w:left="284"/>
        <w:rPr>
          <w:szCs w:val="20"/>
        </w:rPr>
      </w:pPr>
    </w:p>
    <w:p w:rsidR="003027BB" w:rsidRPr="00CC674A" w:rsidRDefault="003027BB" w:rsidP="00730C04">
      <w:pPr>
        <w:pStyle w:val="Heading2"/>
        <w:numPr>
          <w:ilvl w:val="0"/>
          <w:numId w:val="24"/>
        </w:numPr>
        <w:rPr>
          <w:rStyle w:val="Strong"/>
          <w:rFonts w:asciiTheme="minorHAnsi" w:eastAsiaTheme="minorHAnsi" w:hAnsiTheme="minorHAnsi" w:cstheme="minorBidi"/>
          <w:b/>
          <w:color w:val="808080" w:themeColor="background1" w:themeShade="80"/>
        </w:rPr>
      </w:pPr>
      <w:r w:rsidRPr="00CC674A">
        <w:rPr>
          <w:rStyle w:val="Strong"/>
          <w:rFonts w:asciiTheme="minorHAnsi" w:eastAsiaTheme="minorHAnsi" w:hAnsiTheme="minorHAnsi" w:cstheme="minorBidi"/>
          <w:b/>
          <w:color w:val="808080" w:themeColor="background1" w:themeShade="80"/>
        </w:rPr>
        <w:t>If yes, please advise:</w:t>
      </w:r>
    </w:p>
    <w:p w:rsidR="000A5B32" w:rsidRPr="00CC674A" w:rsidRDefault="00A6594E" w:rsidP="00A6491A">
      <w:pPr>
        <w:ind w:left="284"/>
        <w:rPr>
          <w:rStyle w:val="Strong"/>
          <w:color w:val="808080" w:themeColor="background1" w:themeShade="80"/>
        </w:rPr>
      </w:pPr>
      <w:r w:rsidRPr="00CC674A">
        <w:rPr>
          <w:color w:val="808080" w:themeColor="background1" w:themeShade="80"/>
        </w:rPr>
        <w:fldChar w:fldCharType="begin">
          <w:ffData>
            <w:name w:val=""/>
            <w:enabled/>
            <w:calcOnExit w:val="0"/>
            <w:textInput>
              <w:default w:val="Insert description of other public funding mechanism here"/>
            </w:textInput>
          </w:ffData>
        </w:fldChar>
      </w:r>
      <w:r w:rsidRPr="00CC674A">
        <w:rPr>
          <w:color w:val="808080" w:themeColor="background1" w:themeShade="80"/>
        </w:rPr>
        <w:instrText xml:space="preserve"> FORMTEXT </w:instrText>
      </w:r>
      <w:r w:rsidRPr="00CC674A">
        <w:rPr>
          <w:color w:val="808080" w:themeColor="background1" w:themeShade="80"/>
        </w:rPr>
      </w:r>
      <w:r w:rsidRPr="00CC674A">
        <w:rPr>
          <w:color w:val="808080" w:themeColor="background1" w:themeShade="80"/>
        </w:rPr>
        <w:fldChar w:fldCharType="separate"/>
      </w:r>
      <w:r w:rsidRPr="00CC674A">
        <w:rPr>
          <w:noProof/>
          <w:color w:val="808080" w:themeColor="background1" w:themeShade="80"/>
        </w:rPr>
        <w:t>Insert description of other public funding mechanism here</w:t>
      </w:r>
      <w:r w:rsidRPr="00CC674A">
        <w:rPr>
          <w:color w:val="808080" w:themeColor="background1" w:themeShade="80"/>
        </w:rPr>
        <w:fldChar w:fldCharType="end"/>
      </w:r>
    </w:p>
    <w:p w:rsidR="000B3CD0" w:rsidRDefault="000B3CD0" w:rsidP="00730C04">
      <w:pPr>
        <w:pStyle w:val="Heading2"/>
      </w:pPr>
      <w:r w:rsidRPr="00154B00">
        <w:t>What is the type of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D4A3B">
        <w:rPr>
          <w:b/>
          <w:szCs w:val="20"/>
        </w:rPr>
      </w:r>
      <w:r w:rsidR="00DD4A3B">
        <w:rPr>
          <w:b/>
          <w:szCs w:val="20"/>
        </w:rPr>
        <w:fldChar w:fldCharType="separate"/>
      </w:r>
      <w:r w:rsidRPr="0027105F">
        <w:rPr>
          <w:b/>
          <w:szCs w:val="20"/>
        </w:rPr>
        <w:fldChar w:fldCharType="end"/>
      </w:r>
      <w:r w:rsidRPr="0027105F">
        <w:rPr>
          <w:b/>
          <w:szCs w:val="20"/>
        </w:rPr>
        <w:t xml:space="preserve"> </w:t>
      </w:r>
      <w:r>
        <w:t>Therapeutic medical service</w:t>
      </w:r>
    </w:p>
    <w:p w:rsidR="00A6594E" w:rsidRDefault="00CC674A"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DD4A3B">
        <w:rPr>
          <w:b/>
          <w:szCs w:val="20"/>
        </w:rPr>
      </w:r>
      <w:r w:rsidR="00DD4A3B">
        <w:rPr>
          <w:b/>
          <w:szCs w:val="20"/>
        </w:rPr>
        <w:fldChar w:fldCharType="separate"/>
      </w:r>
      <w:r>
        <w:rPr>
          <w:b/>
          <w:szCs w:val="20"/>
        </w:rPr>
        <w:fldChar w:fldCharType="end"/>
      </w:r>
      <w:r w:rsidR="00A6594E" w:rsidRPr="0027105F">
        <w:rPr>
          <w:b/>
          <w:szCs w:val="20"/>
        </w:rPr>
        <w:t xml:space="preserve"> </w:t>
      </w:r>
      <w:r w:rsidR="00A6594E">
        <w:t>Investigative medical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D4A3B">
        <w:rPr>
          <w:b/>
          <w:szCs w:val="20"/>
        </w:rPr>
      </w:r>
      <w:r w:rsidR="00DD4A3B">
        <w:rPr>
          <w:b/>
          <w:szCs w:val="20"/>
        </w:rPr>
        <w:fldChar w:fldCharType="separate"/>
      </w:r>
      <w:r w:rsidRPr="0027105F">
        <w:rPr>
          <w:b/>
          <w:szCs w:val="20"/>
        </w:rPr>
        <w:fldChar w:fldCharType="end"/>
      </w:r>
      <w:r w:rsidRPr="0027105F">
        <w:rPr>
          <w:b/>
          <w:szCs w:val="20"/>
        </w:rPr>
        <w:t xml:space="preserve"> </w:t>
      </w:r>
      <w:r>
        <w:t>Single consultation medical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D4A3B">
        <w:rPr>
          <w:b/>
          <w:szCs w:val="20"/>
        </w:rPr>
      </w:r>
      <w:r w:rsidR="00DD4A3B">
        <w:rPr>
          <w:b/>
          <w:szCs w:val="20"/>
        </w:rPr>
        <w:fldChar w:fldCharType="separate"/>
      </w:r>
      <w:r w:rsidRPr="0027105F">
        <w:rPr>
          <w:b/>
          <w:szCs w:val="20"/>
        </w:rPr>
        <w:fldChar w:fldCharType="end"/>
      </w:r>
      <w:r w:rsidRPr="0027105F">
        <w:rPr>
          <w:b/>
          <w:szCs w:val="20"/>
        </w:rPr>
        <w:t xml:space="preserve"> </w:t>
      </w:r>
      <w:r>
        <w:t>Global consultation medical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D4A3B">
        <w:rPr>
          <w:b/>
          <w:szCs w:val="20"/>
        </w:rPr>
      </w:r>
      <w:r w:rsidR="00DD4A3B">
        <w:rPr>
          <w:b/>
          <w:szCs w:val="20"/>
        </w:rPr>
        <w:fldChar w:fldCharType="separate"/>
      </w:r>
      <w:r w:rsidRPr="0027105F">
        <w:rPr>
          <w:b/>
          <w:szCs w:val="20"/>
        </w:rPr>
        <w:fldChar w:fldCharType="end"/>
      </w:r>
      <w:r w:rsidRPr="0027105F">
        <w:rPr>
          <w:b/>
          <w:szCs w:val="20"/>
        </w:rPr>
        <w:t xml:space="preserve"> </w:t>
      </w:r>
      <w:r>
        <w:t>Allied health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D4A3B">
        <w:rPr>
          <w:b/>
          <w:szCs w:val="20"/>
        </w:rPr>
      </w:r>
      <w:r w:rsidR="00DD4A3B">
        <w:rPr>
          <w:b/>
          <w:szCs w:val="20"/>
        </w:rPr>
        <w:fldChar w:fldCharType="separate"/>
      </w:r>
      <w:r w:rsidRPr="0027105F">
        <w:rPr>
          <w:b/>
          <w:szCs w:val="20"/>
        </w:rPr>
        <w:fldChar w:fldCharType="end"/>
      </w:r>
      <w:r w:rsidRPr="0027105F">
        <w:rPr>
          <w:b/>
          <w:szCs w:val="20"/>
        </w:rPr>
        <w:t xml:space="preserve"> </w:t>
      </w:r>
      <w:r>
        <w:t>Co-dependent technology</w:t>
      </w:r>
    </w:p>
    <w:p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D4A3B">
        <w:rPr>
          <w:b/>
          <w:szCs w:val="20"/>
        </w:rPr>
      </w:r>
      <w:r w:rsidR="00DD4A3B">
        <w:rPr>
          <w:b/>
          <w:szCs w:val="20"/>
        </w:rPr>
        <w:fldChar w:fldCharType="separate"/>
      </w:r>
      <w:r w:rsidRPr="0027105F">
        <w:rPr>
          <w:b/>
          <w:szCs w:val="20"/>
        </w:rPr>
        <w:fldChar w:fldCharType="end"/>
      </w:r>
      <w:r w:rsidRPr="0027105F">
        <w:rPr>
          <w:b/>
          <w:szCs w:val="20"/>
        </w:rPr>
        <w:t xml:space="preserve"> </w:t>
      </w:r>
      <w:r>
        <w:t>Hybrid health technology</w:t>
      </w:r>
    </w:p>
    <w:p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DD4A3B">
        <w:rPr>
          <w:b/>
          <w:szCs w:val="20"/>
        </w:rPr>
      </w:r>
      <w:r w:rsidR="00DD4A3B">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rsidR="00A6594E" w:rsidRDefault="00CC674A"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DD4A3B">
        <w:rPr>
          <w:b/>
          <w:szCs w:val="20"/>
        </w:rPr>
      </w:r>
      <w:r w:rsidR="00DD4A3B">
        <w:rPr>
          <w:b/>
          <w:szCs w:val="20"/>
        </w:rPr>
        <w:fldChar w:fldCharType="separate"/>
      </w:r>
      <w:r>
        <w:rPr>
          <w:b/>
          <w:szCs w:val="20"/>
        </w:rPr>
        <w:fldChar w:fldCharType="end"/>
      </w:r>
      <w:r w:rsidR="00A6594E" w:rsidRPr="00AF4466">
        <w:rPr>
          <w:b/>
          <w:szCs w:val="20"/>
        </w:rPr>
        <w:t xml:space="preserve"> </w:t>
      </w:r>
      <w:r w:rsidR="00A6594E">
        <w:t>Assists in establishing a diagnosis in symptomatic patients</w:t>
      </w:r>
    </w:p>
    <w:p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DD4A3B">
        <w:rPr>
          <w:b/>
          <w:szCs w:val="20"/>
        </w:rPr>
      </w:r>
      <w:r w:rsidR="00DD4A3B">
        <w:rPr>
          <w:b/>
          <w:szCs w:val="20"/>
        </w:rPr>
        <w:fldChar w:fldCharType="separate"/>
      </w:r>
      <w:r w:rsidRPr="00AF4466">
        <w:rPr>
          <w:b/>
          <w:szCs w:val="20"/>
        </w:rPr>
        <w:fldChar w:fldCharType="end"/>
      </w:r>
      <w:r w:rsidRPr="00AF4466">
        <w:rPr>
          <w:b/>
          <w:szCs w:val="20"/>
        </w:rPr>
        <w:t xml:space="preserve"> </w:t>
      </w:r>
      <w:r>
        <w:t>Provides information about prognosis</w:t>
      </w:r>
    </w:p>
    <w:p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DD4A3B">
        <w:rPr>
          <w:b/>
          <w:szCs w:val="20"/>
        </w:rPr>
      </w:r>
      <w:r w:rsidR="00DD4A3B">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rsidR="00A6594E" w:rsidRPr="00A6594E" w:rsidRDefault="00CC674A"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DD4A3B">
        <w:rPr>
          <w:b/>
          <w:szCs w:val="20"/>
        </w:rPr>
      </w:r>
      <w:r w:rsidR="00DD4A3B">
        <w:rPr>
          <w:b/>
          <w:szCs w:val="20"/>
        </w:rPr>
        <w:fldChar w:fldCharType="separate"/>
      </w:r>
      <w:r>
        <w:rPr>
          <w:b/>
          <w:szCs w:val="20"/>
        </w:rPr>
        <w:fldChar w:fldCharType="end"/>
      </w:r>
      <w:r w:rsidR="00A6594E" w:rsidRPr="00AF4466">
        <w:rPr>
          <w:b/>
          <w:szCs w:val="20"/>
        </w:rPr>
        <w:t xml:space="preserve"> </w:t>
      </w:r>
      <w:r w:rsidR="00A6594E">
        <w:t>Monitors a patient over time to assess treatment response and guide subsequent treatment decisions</w:t>
      </w:r>
    </w:p>
    <w:p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D4A3B">
        <w:rPr>
          <w:b/>
          <w:szCs w:val="20"/>
        </w:rPr>
      </w:r>
      <w:r w:rsidR="00DD4A3B">
        <w:rPr>
          <w:b/>
          <w:szCs w:val="20"/>
        </w:rPr>
        <w:fldChar w:fldCharType="separate"/>
      </w:r>
      <w:r w:rsidRPr="0027105F">
        <w:rPr>
          <w:b/>
          <w:szCs w:val="20"/>
        </w:rPr>
        <w:fldChar w:fldCharType="end"/>
      </w:r>
      <w:r w:rsidRPr="0027105F">
        <w:rPr>
          <w:b/>
          <w:szCs w:val="20"/>
        </w:rPr>
        <w:t xml:space="preserve"> </w:t>
      </w:r>
      <w:r>
        <w:t>Pharmaceutical / Biological</w:t>
      </w:r>
    </w:p>
    <w:p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D4A3B">
        <w:rPr>
          <w:b/>
          <w:szCs w:val="20"/>
        </w:rPr>
      </w:r>
      <w:r w:rsidR="00DD4A3B">
        <w:rPr>
          <w:b/>
          <w:szCs w:val="20"/>
        </w:rPr>
        <w:fldChar w:fldCharType="separate"/>
      </w:r>
      <w:r w:rsidRPr="0027105F">
        <w:rPr>
          <w:b/>
          <w:szCs w:val="20"/>
        </w:rPr>
        <w:fldChar w:fldCharType="end"/>
      </w:r>
      <w:r w:rsidRPr="0027105F">
        <w:rPr>
          <w:b/>
          <w:szCs w:val="20"/>
        </w:rPr>
        <w:t xml:space="preserve"> </w:t>
      </w:r>
      <w:r>
        <w:t>Prosthesis or device</w:t>
      </w:r>
    </w:p>
    <w:p w:rsidR="00FE16C1" w:rsidRPr="00FE16C1" w:rsidRDefault="00CC674A"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DD4A3B">
        <w:rPr>
          <w:b/>
          <w:szCs w:val="20"/>
        </w:rPr>
      </w:r>
      <w:r w:rsidR="00DD4A3B">
        <w:rPr>
          <w:b/>
          <w:szCs w:val="20"/>
        </w:rPr>
        <w:fldChar w:fldCharType="separate"/>
      </w:r>
      <w:r>
        <w:rPr>
          <w:b/>
          <w:szCs w:val="20"/>
        </w:rPr>
        <w:fldChar w:fldCharType="end"/>
      </w:r>
      <w:r w:rsidR="00FE16C1" w:rsidRPr="0027105F">
        <w:rPr>
          <w:b/>
          <w:szCs w:val="20"/>
        </w:rPr>
        <w:t xml:space="preserve"> </w:t>
      </w:r>
      <w:r w:rsidR="00FE16C1">
        <w:t>No</w:t>
      </w:r>
    </w:p>
    <w:p w:rsidR="000E5439" w:rsidRPr="00CC674A" w:rsidRDefault="00530204" w:rsidP="00730C04">
      <w:pPr>
        <w:pStyle w:val="Heading2"/>
        <w:rPr>
          <w:color w:val="808080" w:themeColor="background1" w:themeShade="80"/>
        </w:rPr>
      </w:pPr>
      <w:r w:rsidRPr="00CC674A">
        <w:rPr>
          <w:color w:val="808080" w:themeColor="background1" w:themeShade="80"/>
        </w:rPr>
        <w:t xml:space="preserve">(a)  </w:t>
      </w:r>
      <w:r w:rsidR="000E5439" w:rsidRPr="00CC674A">
        <w:rPr>
          <w:color w:val="808080" w:themeColor="background1" w:themeShade="80"/>
        </w:rPr>
        <w:t>If the proposed service has a pharmaceutical component to it, is it already covered under an existing Pharmaceutical Benefits Scheme (PBS) listing?</w:t>
      </w:r>
    </w:p>
    <w:p w:rsidR="00FE16C1" w:rsidRPr="00CC674A" w:rsidRDefault="00FE16C1" w:rsidP="00A6491A">
      <w:pPr>
        <w:spacing w:before="0" w:after="0"/>
        <w:ind w:left="284"/>
        <w:rPr>
          <w:color w:val="808080" w:themeColor="background1" w:themeShade="80"/>
          <w:szCs w:val="20"/>
        </w:rPr>
      </w:pPr>
      <w:r w:rsidRPr="00CC674A">
        <w:rPr>
          <w:color w:val="808080" w:themeColor="background1" w:themeShade="80"/>
          <w:szCs w:val="20"/>
        </w:rPr>
        <w:fldChar w:fldCharType="begin">
          <w:ffData>
            <w:name w:val="Check1"/>
            <w:enabled/>
            <w:calcOnExit w:val="0"/>
            <w:checkBox>
              <w:sizeAuto/>
              <w:default w:val="0"/>
            </w:checkBox>
          </w:ffData>
        </w:fldChar>
      </w:r>
      <w:r w:rsidRPr="00CC674A">
        <w:rPr>
          <w:color w:val="808080" w:themeColor="background1" w:themeShade="80"/>
          <w:szCs w:val="20"/>
        </w:rPr>
        <w:instrText xml:space="preserve"> FORMCHECKBOX </w:instrText>
      </w:r>
      <w:r w:rsidR="00DD4A3B">
        <w:rPr>
          <w:color w:val="808080" w:themeColor="background1" w:themeShade="80"/>
          <w:szCs w:val="20"/>
        </w:rPr>
      </w:r>
      <w:r w:rsidR="00DD4A3B">
        <w:rPr>
          <w:color w:val="808080" w:themeColor="background1" w:themeShade="80"/>
          <w:szCs w:val="20"/>
        </w:rPr>
        <w:fldChar w:fldCharType="separate"/>
      </w:r>
      <w:r w:rsidRPr="00CC674A">
        <w:rPr>
          <w:color w:val="808080" w:themeColor="background1" w:themeShade="80"/>
          <w:szCs w:val="20"/>
        </w:rPr>
        <w:fldChar w:fldCharType="end"/>
      </w:r>
      <w:r w:rsidRPr="00CC674A">
        <w:rPr>
          <w:color w:val="808080" w:themeColor="background1" w:themeShade="80"/>
          <w:szCs w:val="20"/>
        </w:rPr>
        <w:t xml:space="preserve"> Yes</w:t>
      </w:r>
    </w:p>
    <w:p w:rsidR="00FE16C1" w:rsidRPr="00CC674A" w:rsidRDefault="00FE16C1" w:rsidP="00A6491A">
      <w:pPr>
        <w:spacing w:before="0" w:after="0"/>
        <w:ind w:left="284"/>
        <w:rPr>
          <w:color w:val="808080" w:themeColor="background1" w:themeShade="80"/>
          <w:szCs w:val="20"/>
        </w:rPr>
      </w:pPr>
      <w:r w:rsidRPr="00CC674A">
        <w:rPr>
          <w:color w:val="808080" w:themeColor="background1" w:themeShade="80"/>
          <w:szCs w:val="20"/>
        </w:rPr>
        <w:fldChar w:fldCharType="begin">
          <w:ffData>
            <w:name w:val="Check2"/>
            <w:enabled/>
            <w:calcOnExit w:val="0"/>
            <w:checkBox>
              <w:sizeAuto/>
              <w:default w:val="0"/>
            </w:checkBox>
          </w:ffData>
        </w:fldChar>
      </w:r>
      <w:r w:rsidRPr="00CC674A">
        <w:rPr>
          <w:color w:val="808080" w:themeColor="background1" w:themeShade="80"/>
          <w:szCs w:val="20"/>
        </w:rPr>
        <w:instrText xml:space="preserve"> FORMCHECKBOX </w:instrText>
      </w:r>
      <w:r w:rsidR="00DD4A3B">
        <w:rPr>
          <w:color w:val="808080" w:themeColor="background1" w:themeShade="80"/>
          <w:szCs w:val="20"/>
        </w:rPr>
      </w:r>
      <w:r w:rsidR="00DD4A3B">
        <w:rPr>
          <w:color w:val="808080" w:themeColor="background1" w:themeShade="80"/>
          <w:szCs w:val="20"/>
        </w:rPr>
        <w:fldChar w:fldCharType="separate"/>
      </w:r>
      <w:r w:rsidRPr="00CC674A">
        <w:rPr>
          <w:color w:val="808080" w:themeColor="background1" w:themeShade="80"/>
          <w:szCs w:val="20"/>
        </w:rPr>
        <w:fldChar w:fldCharType="end"/>
      </w:r>
      <w:r w:rsidRPr="00CC674A">
        <w:rPr>
          <w:color w:val="808080" w:themeColor="background1" w:themeShade="80"/>
          <w:szCs w:val="20"/>
        </w:rPr>
        <w:t xml:space="preserve"> No  </w:t>
      </w:r>
    </w:p>
    <w:p w:rsidR="00EC127A" w:rsidRPr="00CC674A" w:rsidRDefault="000E5439" w:rsidP="00530204">
      <w:pPr>
        <w:pStyle w:val="Heading2"/>
        <w:numPr>
          <w:ilvl w:val="0"/>
          <w:numId w:val="25"/>
        </w:numPr>
        <w:rPr>
          <w:color w:val="808080" w:themeColor="background1" w:themeShade="80"/>
        </w:rPr>
      </w:pPr>
      <w:r w:rsidRPr="00CC674A">
        <w:rPr>
          <w:color w:val="808080" w:themeColor="background1" w:themeShade="80"/>
        </w:rPr>
        <w:t xml:space="preserve">If yes, </w:t>
      </w:r>
      <w:r w:rsidR="00BB003A" w:rsidRPr="00CC674A">
        <w:rPr>
          <w:color w:val="808080" w:themeColor="background1" w:themeShade="80"/>
        </w:rPr>
        <w:t>please list</w:t>
      </w:r>
      <w:r w:rsidRPr="00CC674A">
        <w:rPr>
          <w:color w:val="808080" w:themeColor="background1" w:themeShade="80"/>
        </w:rPr>
        <w:t xml:space="preserve"> the</w:t>
      </w:r>
      <w:r w:rsidR="00BB003A" w:rsidRPr="00CC674A">
        <w:rPr>
          <w:color w:val="808080" w:themeColor="background1" w:themeShade="80"/>
        </w:rPr>
        <w:t xml:space="preserve"> relevant</w:t>
      </w:r>
      <w:r w:rsidRPr="00CC674A">
        <w:rPr>
          <w:color w:val="808080" w:themeColor="background1" w:themeShade="80"/>
        </w:rPr>
        <w:t xml:space="preserve"> PBS </w:t>
      </w:r>
      <w:r w:rsidR="001E23EA" w:rsidRPr="00CC674A">
        <w:rPr>
          <w:color w:val="808080" w:themeColor="background1" w:themeShade="80"/>
        </w:rPr>
        <w:t>item code</w:t>
      </w:r>
      <w:r w:rsidRPr="00CC674A">
        <w:rPr>
          <w:color w:val="808080" w:themeColor="background1" w:themeShade="80"/>
        </w:rPr>
        <w:t>(s)</w:t>
      </w:r>
      <w:r w:rsidR="007E39E4" w:rsidRPr="00CC674A">
        <w:rPr>
          <w:color w:val="808080" w:themeColor="background1" w:themeShade="80"/>
        </w:rPr>
        <w:t>:</w:t>
      </w:r>
    </w:p>
    <w:p w:rsidR="007E39E4" w:rsidRPr="00CC674A" w:rsidRDefault="007E39E4" w:rsidP="00A6491A">
      <w:pPr>
        <w:ind w:left="284"/>
        <w:rPr>
          <w:b/>
          <w:color w:val="808080" w:themeColor="background1" w:themeShade="80"/>
          <w:szCs w:val="20"/>
        </w:rPr>
      </w:pPr>
      <w:r w:rsidRPr="00CC674A">
        <w:rPr>
          <w:color w:val="808080" w:themeColor="background1" w:themeShade="80"/>
        </w:rPr>
        <w:fldChar w:fldCharType="begin">
          <w:ffData>
            <w:name w:val=""/>
            <w:enabled/>
            <w:calcOnExit w:val="0"/>
            <w:textInput>
              <w:default w:val="Insert PBS item code(s) here"/>
            </w:textInput>
          </w:ffData>
        </w:fldChar>
      </w:r>
      <w:r w:rsidRPr="00CC674A">
        <w:rPr>
          <w:color w:val="808080" w:themeColor="background1" w:themeShade="80"/>
        </w:rPr>
        <w:instrText xml:space="preserve"> FORMTEXT </w:instrText>
      </w:r>
      <w:r w:rsidRPr="00CC674A">
        <w:rPr>
          <w:color w:val="808080" w:themeColor="background1" w:themeShade="80"/>
        </w:rPr>
      </w:r>
      <w:r w:rsidRPr="00CC674A">
        <w:rPr>
          <w:color w:val="808080" w:themeColor="background1" w:themeShade="80"/>
        </w:rPr>
        <w:fldChar w:fldCharType="separate"/>
      </w:r>
      <w:r w:rsidRPr="00CC674A">
        <w:rPr>
          <w:noProof/>
          <w:color w:val="808080" w:themeColor="background1" w:themeShade="80"/>
        </w:rPr>
        <w:t>Insert PBS item code(s) here</w:t>
      </w:r>
      <w:r w:rsidRPr="00CC674A">
        <w:rPr>
          <w:color w:val="808080" w:themeColor="background1" w:themeShade="80"/>
        </w:rPr>
        <w:fldChar w:fldCharType="end"/>
      </w:r>
    </w:p>
    <w:p w:rsidR="00411735" w:rsidRPr="00CC674A" w:rsidRDefault="00411735" w:rsidP="00530204">
      <w:pPr>
        <w:pStyle w:val="Heading2"/>
        <w:numPr>
          <w:ilvl w:val="0"/>
          <w:numId w:val="25"/>
        </w:numPr>
        <w:rPr>
          <w:color w:val="808080" w:themeColor="background1" w:themeShade="80"/>
        </w:rPr>
      </w:pPr>
      <w:r w:rsidRPr="00CC674A">
        <w:rPr>
          <w:color w:val="808080" w:themeColor="background1" w:themeShade="80"/>
        </w:rPr>
        <w:t xml:space="preserve">If no, is an application </w:t>
      </w:r>
      <w:r w:rsidR="001E23EA" w:rsidRPr="00CC674A">
        <w:rPr>
          <w:color w:val="808080" w:themeColor="background1" w:themeShade="80"/>
        </w:rPr>
        <w:t xml:space="preserve">(submission) </w:t>
      </w:r>
      <w:r w:rsidRPr="00CC674A">
        <w:rPr>
          <w:color w:val="808080" w:themeColor="background1" w:themeShade="80"/>
        </w:rPr>
        <w:t xml:space="preserve">in the process of being considered by the </w:t>
      </w:r>
      <w:r w:rsidR="00802553" w:rsidRPr="00CC674A">
        <w:rPr>
          <w:color w:val="808080" w:themeColor="background1" w:themeShade="80"/>
        </w:rPr>
        <w:t>Pharmaceutical Benefits Advisory Committee (</w:t>
      </w:r>
      <w:r w:rsidRPr="00CC674A">
        <w:rPr>
          <w:color w:val="808080" w:themeColor="background1" w:themeShade="80"/>
        </w:rPr>
        <w:t>PBAC</w:t>
      </w:r>
      <w:r w:rsidR="00802553" w:rsidRPr="00CC674A">
        <w:rPr>
          <w:color w:val="808080" w:themeColor="background1" w:themeShade="80"/>
        </w:rPr>
        <w:t>)</w:t>
      </w:r>
      <w:r w:rsidRPr="00CC674A">
        <w:rPr>
          <w:color w:val="808080" w:themeColor="background1" w:themeShade="80"/>
        </w:rPr>
        <w:t>?</w:t>
      </w:r>
    </w:p>
    <w:p w:rsidR="007E39E4" w:rsidRPr="00CC674A" w:rsidRDefault="007E39E4" w:rsidP="00A6491A">
      <w:pPr>
        <w:spacing w:before="0" w:after="0"/>
        <w:ind w:left="284"/>
        <w:rPr>
          <w:color w:val="808080" w:themeColor="background1" w:themeShade="80"/>
          <w:szCs w:val="20"/>
        </w:rPr>
      </w:pPr>
      <w:r w:rsidRPr="00CC674A">
        <w:rPr>
          <w:color w:val="808080" w:themeColor="background1" w:themeShade="80"/>
          <w:szCs w:val="20"/>
        </w:rPr>
        <w:fldChar w:fldCharType="begin">
          <w:ffData>
            <w:name w:val="Check1"/>
            <w:enabled/>
            <w:calcOnExit w:val="0"/>
            <w:checkBox>
              <w:sizeAuto/>
              <w:default w:val="0"/>
            </w:checkBox>
          </w:ffData>
        </w:fldChar>
      </w:r>
      <w:r w:rsidRPr="00CC674A">
        <w:rPr>
          <w:color w:val="808080" w:themeColor="background1" w:themeShade="80"/>
          <w:szCs w:val="20"/>
        </w:rPr>
        <w:instrText xml:space="preserve"> FORMCHECKBOX </w:instrText>
      </w:r>
      <w:r w:rsidR="00DD4A3B">
        <w:rPr>
          <w:color w:val="808080" w:themeColor="background1" w:themeShade="80"/>
          <w:szCs w:val="20"/>
        </w:rPr>
      </w:r>
      <w:r w:rsidR="00DD4A3B">
        <w:rPr>
          <w:color w:val="808080" w:themeColor="background1" w:themeShade="80"/>
          <w:szCs w:val="20"/>
        </w:rPr>
        <w:fldChar w:fldCharType="separate"/>
      </w:r>
      <w:r w:rsidRPr="00CC674A">
        <w:rPr>
          <w:color w:val="808080" w:themeColor="background1" w:themeShade="80"/>
          <w:szCs w:val="20"/>
        </w:rPr>
        <w:fldChar w:fldCharType="end"/>
      </w:r>
      <w:r w:rsidRPr="00CC674A">
        <w:rPr>
          <w:color w:val="808080" w:themeColor="background1" w:themeShade="80"/>
          <w:szCs w:val="20"/>
        </w:rPr>
        <w:t xml:space="preserve"> Yes</w:t>
      </w:r>
      <w:r w:rsidR="001E6919" w:rsidRPr="00CC674A">
        <w:rPr>
          <w:color w:val="808080" w:themeColor="background1" w:themeShade="80"/>
          <w:szCs w:val="20"/>
        </w:rPr>
        <w:t xml:space="preserve"> (please provide PBAC submission item number below)</w:t>
      </w:r>
    </w:p>
    <w:p w:rsidR="001E6919" w:rsidRPr="00CC674A" w:rsidRDefault="007E39E4" w:rsidP="001E6919">
      <w:pPr>
        <w:spacing w:before="0"/>
        <w:ind w:left="284"/>
        <w:rPr>
          <w:color w:val="808080" w:themeColor="background1" w:themeShade="80"/>
          <w:szCs w:val="20"/>
        </w:rPr>
      </w:pPr>
      <w:r w:rsidRPr="00CC674A">
        <w:rPr>
          <w:color w:val="808080" w:themeColor="background1" w:themeShade="80"/>
          <w:szCs w:val="20"/>
        </w:rPr>
        <w:fldChar w:fldCharType="begin">
          <w:ffData>
            <w:name w:val="Check2"/>
            <w:enabled/>
            <w:calcOnExit w:val="0"/>
            <w:checkBox>
              <w:sizeAuto/>
              <w:default w:val="0"/>
            </w:checkBox>
          </w:ffData>
        </w:fldChar>
      </w:r>
      <w:r w:rsidRPr="00CC674A">
        <w:rPr>
          <w:color w:val="808080" w:themeColor="background1" w:themeShade="80"/>
          <w:szCs w:val="20"/>
        </w:rPr>
        <w:instrText xml:space="preserve"> FORMCHECKBOX </w:instrText>
      </w:r>
      <w:r w:rsidR="00DD4A3B">
        <w:rPr>
          <w:color w:val="808080" w:themeColor="background1" w:themeShade="80"/>
          <w:szCs w:val="20"/>
        </w:rPr>
      </w:r>
      <w:r w:rsidR="00DD4A3B">
        <w:rPr>
          <w:color w:val="808080" w:themeColor="background1" w:themeShade="80"/>
          <w:szCs w:val="20"/>
        </w:rPr>
        <w:fldChar w:fldCharType="separate"/>
      </w:r>
      <w:r w:rsidRPr="00CC674A">
        <w:rPr>
          <w:color w:val="808080" w:themeColor="background1" w:themeShade="80"/>
          <w:szCs w:val="20"/>
        </w:rPr>
        <w:fldChar w:fldCharType="end"/>
      </w:r>
      <w:r w:rsidR="001E6919" w:rsidRPr="00CC674A">
        <w:rPr>
          <w:color w:val="808080" w:themeColor="background1" w:themeShade="80"/>
          <w:szCs w:val="20"/>
        </w:rPr>
        <w:t xml:space="preserve"> No</w:t>
      </w:r>
    </w:p>
    <w:p w:rsidR="001E6919" w:rsidRPr="00CC674A" w:rsidRDefault="001E6919" w:rsidP="00A6491A">
      <w:pPr>
        <w:spacing w:before="0" w:after="0"/>
        <w:ind w:left="284"/>
        <w:rPr>
          <w:color w:val="808080" w:themeColor="background1" w:themeShade="80"/>
          <w:szCs w:val="20"/>
        </w:rPr>
      </w:pPr>
      <w:r w:rsidRPr="00CC674A">
        <w:rPr>
          <w:color w:val="808080" w:themeColor="background1" w:themeShade="80"/>
        </w:rPr>
        <w:fldChar w:fldCharType="begin">
          <w:ffData>
            <w:name w:val=""/>
            <w:enabled/>
            <w:calcOnExit w:val="0"/>
            <w:textInput>
              <w:default w:val="Insert PBAC submission item number here"/>
            </w:textInput>
          </w:ffData>
        </w:fldChar>
      </w:r>
      <w:r w:rsidRPr="00CC674A">
        <w:rPr>
          <w:color w:val="808080" w:themeColor="background1" w:themeShade="80"/>
        </w:rPr>
        <w:instrText xml:space="preserve"> FORMTEXT </w:instrText>
      </w:r>
      <w:r w:rsidRPr="00CC674A">
        <w:rPr>
          <w:color w:val="808080" w:themeColor="background1" w:themeShade="80"/>
        </w:rPr>
      </w:r>
      <w:r w:rsidRPr="00CC674A">
        <w:rPr>
          <w:color w:val="808080" w:themeColor="background1" w:themeShade="80"/>
        </w:rPr>
        <w:fldChar w:fldCharType="separate"/>
      </w:r>
      <w:r w:rsidRPr="00CC674A">
        <w:rPr>
          <w:noProof/>
          <w:color w:val="808080" w:themeColor="background1" w:themeShade="80"/>
        </w:rPr>
        <w:t>Insert PBAC submission item number here</w:t>
      </w:r>
      <w:r w:rsidRPr="00CC674A">
        <w:rPr>
          <w:color w:val="808080" w:themeColor="background1" w:themeShade="80"/>
        </w:rPr>
        <w:fldChar w:fldCharType="end"/>
      </w:r>
    </w:p>
    <w:p w:rsidR="000E5439" w:rsidRPr="00CC674A" w:rsidRDefault="000E5439" w:rsidP="00530204">
      <w:pPr>
        <w:pStyle w:val="Heading2"/>
        <w:numPr>
          <w:ilvl w:val="0"/>
          <w:numId w:val="25"/>
        </w:numPr>
        <w:rPr>
          <w:color w:val="808080" w:themeColor="background1" w:themeShade="80"/>
        </w:rPr>
      </w:pPr>
      <w:r w:rsidRPr="00CC674A">
        <w:rPr>
          <w:color w:val="808080" w:themeColor="background1" w:themeShade="80"/>
        </w:rPr>
        <w:t>If you are seeking both MBS and PBS listing</w:t>
      </w:r>
      <w:r w:rsidR="00B75965" w:rsidRPr="00CC674A">
        <w:rPr>
          <w:color w:val="808080" w:themeColor="background1" w:themeShade="80"/>
        </w:rPr>
        <w:t>, what is the trade name and generic name of the pharmaceutical?</w:t>
      </w:r>
    </w:p>
    <w:p w:rsidR="001E6958" w:rsidRPr="00CC674A" w:rsidRDefault="001E6958" w:rsidP="00A6491A">
      <w:pPr>
        <w:spacing w:before="0" w:after="0"/>
        <w:ind w:left="284"/>
        <w:rPr>
          <w:color w:val="808080" w:themeColor="background1" w:themeShade="80"/>
        </w:rPr>
      </w:pPr>
      <w:r w:rsidRPr="00CC674A">
        <w:rPr>
          <w:color w:val="808080" w:themeColor="background1" w:themeShade="80"/>
        </w:rPr>
        <w:t xml:space="preserve">Trade name: </w:t>
      </w:r>
      <w:r w:rsidRPr="00CC674A">
        <w:rPr>
          <w:color w:val="808080" w:themeColor="background1" w:themeShade="80"/>
        </w:rPr>
        <w:fldChar w:fldCharType="begin">
          <w:ffData>
            <w:name w:val=""/>
            <w:enabled/>
            <w:calcOnExit w:val="0"/>
            <w:textInput>
              <w:default w:val="Insert trade name here"/>
            </w:textInput>
          </w:ffData>
        </w:fldChar>
      </w:r>
      <w:r w:rsidRPr="00CC674A">
        <w:rPr>
          <w:color w:val="808080" w:themeColor="background1" w:themeShade="80"/>
        </w:rPr>
        <w:instrText xml:space="preserve"> FORMTEXT </w:instrText>
      </w:r>
      <w:r w:rsidRPr="00CC674A">
        <w:rPr>
          <w:color w:val="808080" w:themeColor="background1" w:themeShade="80"/>
        </w:rPr>
      </w:r>
      <w:r w:rsidRPr="00CC674A">
        <w:rPr>
          <w:color w:val="808080" w:themeColor="background1" w:themeShade="80"/>
        </w:rPr>
        <w:fldChar w:fldCharType="separate"/>
      </w:r>
      <w:r w:rsidRPr="00CC674A">
        <w:rPr>
          <w:noProof/>
          <w:color w:val="808080" w:themeColor="background1" w:themeShade="80"/>
        </w:rPr>
        <w:t>Insert trade name here</w:t>
      </w:r>
      <w:r w:rsidRPr="00CC674A">
        <w:rPr>
          <w:color w:val="808080" w:themeColor="background1" w:themeShade="80"/>
        </w:rPr>
        <w:fldChar w:fldCharType="end"/>
      </w:r>
    </w:p>
    <w:p w:rsidR="001E6958" w:rsidRPr="00CC674A" w:rsidRDefault="001E6958" w:rsidP="00A6491A">
      <w:pPr>
        <w:spacing w:before="0" w:after="0"/>
        <w:ind w:left="284"/>
        <w:rPr>
          <w:color w:val="808080" w:themeColor="background1" w:themeShade="80"/>
        </w:rPr>
      </w:pPr>
      <w:r w:rsidRPr="00CC674A">
        <w:rPr>
          <w:color w:val="808080" w:themeColor="background1" w:themeShade="80"/>
        </w:rPr>
        <w:t xml:space="preserve">Generic name: </w:t>
      </w:r>
      <w:r w:rsidRPr="00CC674A">
        <w:rPr>
          <w:color w:val="808080" w:themeColor="background1" w:themeShade="80"/>
        </w:rPr>
        <w:fldChar w:fldCharType="begin">
          <w:ffData>
            <w:name w:val=""/>
            <w:enabled/>
            <w:calcOnExit w:val="0"/>
            <w:textInput>
              <w:default w:val="Insert generic name here"/>
            </w:textInput>
          </w:ffData>
        </w:fldChar>
      </w:r>
      <w:r w:rsidRPr="00CC674A">
        <w:rPr>
          <w:color w:val="808080" w:themeColor="background1" w:themeShade="80"/>
        </w:rPr>
        <w:instrText xml:space="preserve"> FORMTEXT </w:instrText>
      </w:r>
      <w:r w:rsidRPr="00CC674A">
        <w:rPr>
          <w:color w:val="808080" w:themeColor="background1" w:themeShade="80"/>
        </w:rPr>
      </w:r>
      <w:r w:rsidRPr="00CC674A">
        <w:rPr>
          <w:color w:val="808080" w:themeColor="background1" w:themeShade="80"/>
        </w:rPr>
        <w:fldChar w:fldCharType="separate"/>
      </w:r>
      <w:r w:rsidRPr="00CC674A">
        <w:rPr>
          <w:noProof/>
          <w:color w:val="808080" w:themeColor="background1" w:themeShade="80"/>
        </w:rPr>
        <w:t>Insert generic name here</w:t>
      </w:r>
      <w:r w:rsidRPr="00CC674A">
        <w:rPr>
          <w:color w:val="808080" w:themeColor="background1" w:themeShade="80"/>
        </w:rPr>
        <w:fldChar w:fldCharType="end"/>
      </w:r>
    </w:p>
    <w:p w:rsidR="00B75965" w:rsidRPr="00CC674A" w:rsidRDefault="00530204" w:rsidP="00530204">
      <w:pPr>
        <w:pStyle w:val="Heading2"/>
        <w:rPr>
          <w:color w:val="808080" w:themeColor="background1" w:themeShade="80"/>
        </w:rPr>
      </w:pPr>
      <w:r w:rsidRPr="00CC674A">
        <w:rPr>
          <w:color w:val="808080" w:themeColor="background1" w:themeShade="80"/>
        </w:rPr>
        <w:lastRenderedPageBreak/>
        <w:t xml:space="preserve">(a) </w:t>
      </w:r>
      <w:r w:rsidR="00B75965" w:rsidRPr="00CC674A">
        <w:rPr>
          <w:color w:val="808080" w:themeColor="background1" w:themeShade="80"/>
        </w:rPr>
        <w:t xml:space="preserve">If the proposed service </w:t>
      </w:r>
      <w:r w:rsidR="00A9062D" w:rsidRPr="00CC674A">
        <w:rPr>
          <w:color w:val="808080" w:themeColor="background1" w:themeShade="80"/>
        </w:rPr>
        <w:t xml:space="preserve">is </w:t>
      </w:r>
      <w:r w:rsidR="00C73B62" w:rsidRPr="00CC674A">
        <w:rPr>
          <w:color w:val="808080" w:themeColor="background1" w:themeShade="80"/>
        </w:rPr>
        <w:t>dependent on</w:t>
      </w:r>
      <w:r w:rsidR="00A9062D" w:rsidRPr="00CC674A">
        <w:rPr>
          <w:color w:val="808080" w:themeColor="background1" w:themeShade="80"/>
        </w:rPr>
        <w:t xml:space="preserve"> </w:t>
      </w:r>
      <w:r w:rsidR="00BB003A" w:rsidRPr="00CC674A">
        <w:rPr>
          <w:color w:val="808080" w:themeColor="background1" w:themeShade="80"/>
        </w:rPr>
        <w:t xml:space="preserve">the use of </w:t>
      </w:r>
      <w:r w:rsidR="00C05A45" w:rsidRPr="00CC674A">
        <w:rPr>
          <w:color w:val="808080" w:themeColor="background1" w:themeShade="80"/>
        </w:rPr>
        <w:t>a prosthesis</w:t>
      </w:r>
      <w:r w:rsidR="00CD4E44" w:rsidRPr="00CC674A">
        <w:rPr>
          <w:color w:val="808080" w:themeColor="background1" w:themeShade="80"/>
        </w:rPr>
        <w:t>,</w:t>
      </w:r>
      <w:r w:rsidR="00C05A45" w:rsidRPr="00CC674A">
        <w:rPr>
          <w:color w:val="808080" w:themeColor="background1" w:themeShade="80"/>
        </w:rPr>
        <w:t xml:space="preserve"> </w:t>
      </w:r>
      <w:r w:rsidR="00B75965" w:rsidRPr="00CC674A">
        <w:rPr>
          <w:color w:val="808080" w:themeColor="background1" w:themeShade="80"/>
        </w:rPr>
        <w:t>is it already included on the Prosthes</w:t>
      </w:r>
      <w:r w:rsidR="00BB003A" w:rsidRPr="00CC674A">
        <w:rPr>
          <w:color w:val="808080" w:themeColor="background1" w:themeShade="80"/>
        </w:rPr>
        <w:t>e</w:t>
      </w:r>
      <w:r w:rsidR="00B75965" w:rsidRPr="00CC674A">
        <w:rPr>
          <w:color w:val="808080" w:themeColor="background1" w:themeShade="80"/>
        </w:rPr>
        <w:t>s List?</w:t>
      </w:r>
    </w:p>
    <w:p w:rsidR="001E6958" w:rsidRPr="00CC674A" w:rsidRDefault="001E6958" w:rsidP="00A6491A">
      <w:pPr>
        <w:spacing w:before="0" w:after="0"/>
        <w:ind w:left="284"/>
        <w:rPr>
          <w:color w:val="808080" w:themeColor="background1" w:themeShade="80"/>
          <w:szCs w:val="20"/>
        </w:rPr>
      </w:pPr>
      <w:r w:rsidRPr="00CC674A">
        <w:rPr>
          <w:color w:val="808080" w:themeColor="background1" w:themeShade="80"/>
          <w:szCs w:val="20"/>
        </w:rPr>
        <w:fldChar w:fldCharType="begin">
          <w:ffData>
            <w:name w:val="Check1"/>
            <w:enabled/>
            <w:calcOnExit w:val="0"/>
            <w:checkBox>
              <w:sizeAuto/>
              <w:default w:val="0"/>
            </w:checkBox>
          </w:ffData>
        </w:fldChar>
      </w:r>
      <w:r w:rsidRPr="00CC674A">
        <w:rPr>
          <w:color w:val="808080" w:themeColor="background1" w:themeShade="80"/>
          <w:szCs w:val="20"/>
        </w:rPr>
        <w:instrText xml:space="preserve"> FORMCHECKBOX </w:instrText>
      </w:r>
      <w:r w:rsidR="00DD4A3B">
        <w:rPr>
          <w:color w:val="808080" w:themeColor="background1" w:themeShade="80"/>
          <w:szCs w:val="20"/>
        </w:rPr>
      </w:r>
      <w:r w:rsidR="00DD4A3B">
        <w:rPr>
          <w:color w:val="808080" w:themeColor="background1" w:themeShade="80"/>
          <w:szCs w:val="20"/>
        </w:rPr>
        <w:fldChar w:fldCharType="separate"/>
      </w:r>
      <w:r w:rsidRPr="00CC674A">
        <w:rPr>
          <w:color w:val="808080" w:themeColor="background1" w:themeShade="80"/>
          <w:szCs w:val="20"/>
        </w:rPr>
        <w:fldChar w:fldCharType="end"/>
      </w:r>
      <w:r w:rsidRPr="00CC674A">
        <w:rPr>
          <w:color w:val="808080" w:themeColor="background1" w:themeShade="80"/>
          <w:szCs w:val="20"/>
        </w:rPr>
        <w:t xml:space="preserve"> Yes</w:t>
      </w:r>
    </w:p>
    <w:p w:rsidR="001E6958" w:rsidRPr="00CC674A" w:rsidRDefault="001E6958" w:rsidP="00A6491A">
      <w:pPr>
        <w:spacing w:before="0" w:after="0"/>
        <w:ind w:left="284"/>
        <w:rPr>
          <w:color w:val="808080" w:themeColor="background1" w:themeShade="80"/>
          <w:szCs w:val="20"/>
        </w:rPr>
      </w:pPr>
      <w:r w:rsidRPr="00CC674A">
        <w:rPr>
          <w:color w:val="808080" w:themeColor="background1" w:themeShade="80"/>
          <w:szCs w:val="20"/>
        </w:rPr>
        <w:fldChar w:fldCharType="begin">
          <w:ffData>
            <w:name w:val="Check2"/>
            <w:enabled/>
            <w:calcOnExit w:val="0"/>
            <w:checkBox>
              <w:sizeAuto/>
              <w:default w:val="0"/>
            </w:checkBox>
          </w:ffData>
        </w:fldChar>
      </w:r>
      <w:r w:rsidRPr="00CC674A">
        <w:rPr>
          <w:color w:val="808080" w:themeColor="background1" w:themeShade="80"/>
          <w:szCs w:val="20"/>
        </w:rPr>
        <w:instrText xml:space="preserve"> FORMCHECKBOX </w:instrText>
      </w:r>
      <w:r w:rsidR="00DD4A3B">
        <w:rPr>
          <w:color w:val="808080" w:themeColor="background1" w:themeShade="80"/>
          <w:szCs w:val="20"/>
        </w:rPr>
      </w:r>
      <w:r w:rsidR="00DD4A3B">
        <w:rPr>
          <w:color w:val="808080" w:themeColor="background1" w:themeShade="80"/>
          <w:szCs w:val="20"/>
        </w:rPr>
        <w:fldChar w:fldCharType="separate"/>
      </w:r>
      <w:r w:rsidRPr="00CC674A">
        <w:rPr>
          <w:color w:val="808080" w:themeColor="background1" w:themeShade="80"/>
          <w:szCs w:val="20"/>
        </w:rPr>
        <w:fldChar w:fldCharType="end"/>
      </w:r>
      <w:r w:rsidRPr="00CC674A">
        <w:rPr>
          <w:color w:val="808080" w:themeColor="background1" w:themeShade="80"/>
          <w:szCs w:val="20"/>
        </w:rPr>
        <w:t xml:space="preserve"> No  </w:t>
      </w:r>
    </w:p>
    <w:p w:rsidR="00B75965" w:rsidRPr="00CC674A" w:rsidRDefault="00B75965" w:rsidP="00530204">
      <w:pPr>
        <w:pStyle w:val="Heading2"/>
        <w:numPr>
          <w:ilvl w:val="0"/>
          <w:numId w:val="26"/>
        </w:numPr>
        <w:rPr>
          <w:color w:val="808080" w:themeColor="background1" w:themeShade="80"/>
        </w:rPr>
      </w:pPr>
      <w:r w:rsidRPr="00CC674A">
        <w:rPr>
          <w:color w:val="808080" w:themeColor="background1" w:themeShade="80"/>
        </w:rPr>
        <w:t xml:space="preserve">If yes, </w:t>
      </w:r>
      <w:r w:rsidR="00C73B62" w:rsidRPr="00CC674A">
        <w:rPr>
          <w:color w:val="808080" w:themeColor="background1" w:themeShade="80"/>
        </w:rPr>
        <w:t xml:space="preserve">please provide the following information (where relevant): </w:t>
      </w:r>
    </w:p>
    <w:p w:rsidR="001E6958" w:rsidRPr="00CC674A" w:rsidRDefault="001E6958" w:rsidP="00A6491A">
      <w:pPr>
        <w:spacing w:before="0" w:after="0"/>
        <w:ind w:left="284"/>
        <w:rPr>
          <w:color w:val="808080" w:themeColor="background1" w:themeShade="80"/>
        </w:rPr>
      </w:pPr>
      <w:r w:rsidRPr="00CC674A">
        <w:rPr>
          <w:color w:val="808080" w:themeColor="background1" w:themeShade="80"/>
        </w:rPr>
        <w:t xml:space="preserve">Billing code(s): </w:t>
      </w:r>
      <w:r w:rsidR="009939DC" w:rsidRPr="00CC674A">
        <w:rPr>
          <w:color w:val="808080" w:themeColor="background1" w:themeShade="80"/>
        </w:rPr>
        <w:fldChar w:fldCharType="begin">
          <w:ffData>
            <w:name w:val=""/>
            <w:enabled/>
            <w:calcOnExit w:val="0"/>
            <w:textInput>
              <w:default w:val="Insert billing code(s) here"/>
            </w:textInput>
          </w:ffData>
        </w:fldChar>
      </w:r>
      <w:r w:rsidR="009939DC" w:rsidRPr="00CC674A">
        <w:rPr>
          <w:color w:val="808080" w:themeColor="background1" w:themeShade="80"/>
        </w:rPr>
        <w:instrText xml:space="preserve"> FORMTEXT </w:instrText>
      </w:r>
      <w:r w:rsidR="009939DC" w:rsidRPr="00CC674A">
        <w:rPr>
          <w:color w:val="808080" w:themeColor="background1" w:themeShade="80"/>
        </w:rPr>
      </w:r>
      <w:r w:rsidR="009939DC" w:rsidRPr="00CC674A">
        <w:rPr>
          <w:color w:val="808080" w:themeColor="background1" w:themeShade="80"/>
        </w:rPr>
        <w:fldChar w:fldCharType="separate"/>
      </w:r>
      <w:r w:rsidR="009939DC" w:rsidRPr="00CC674A">
        <w:rPr>
          <w:noProof/>
          <w:color w:val="808080" w:themeColor="background1" w:themeShade="80"/>
        </w:rPr>
        <w:t>Insert billing code(s) here</w:t>
      </w:r>
      <w:r w:rsidR="009939DC" w:rsidRPr="00CC674A">
        <w:rPr>
          <w:color w:val="808080" w:themeColor="background1" w:themeShade="80"/>
        </w:rPr>
        <w:fldChar w:fldCharType="end"/>
      </w:r>
    </w:p>
    <w:p w:rsidR="001E6958" w:rsidRPr="00CC674A" w:rsidRDefault="001E6958" w:rsidP="00A6491A">
      <w:pPr>
        <w:spacing w:before="0" w:after="0"/>
        <w:ind w:left="284"/>
        <w:rPr>
          <w:color w:val="808080" w:themeColor="background1" w:themeShade="80"/>
        </w:rPr>
      </w:pPr>
      <w:r w:rsidRPr="00CC674A">
        <w:rPr>
          <w:color w:val="808080" w:themeColor="background1" w:themeShade="80"/>
        </w:rPr>
        <w:t xml:space="preserve">Trade name of prostheses: </w:t>
      </w:r>
      <w:r w:rsidR="009939DC" w:rsidRPr="00CC674A">
        <w:rPr>
          <w:color w:val="808080" w:themeColor="background1" w:themeShade="80"/>
        </w:rPr>
        <w:fldChar w:fldCharType="begin">
          <w:ffData>
            <w:name w:val=""/>
            <w:enabled/>
            <w:calcOnExit w:val="0"/>
            <w:textInput>
              <w:default w:val="Insert trade name here"/>
            </w:textInput>
          </w:ffData>
        </w:fldChar>
      </w:r>
      <w:r w:rsidR="009939DC" w:rsidRPr="00CC674A">
        <w:rPr>
          <w:color w:val="808080" w:themeColor="background1" w:themeShade="80"/>
        </w:rPr>
        <w:instrText xml:space="preserve"> FORMTEXT </w:instrText>
      </w:r>
      <w:r w:rsidR="009939DC" w:rsidRPr="00CC674A">
        <w:rPr>
          <w:color w:val="808080" w:themeColor="background1" w:themeShade="80"/>
        </w:rPr>
      </w:r>
      <w:r w:rsidR="009939DC" w:rsidRPr="00CC674A">
        <w:rPr>
          <w:color w:val="808080" w:themeColor="background1" w:themeShade="80"/>
        </w:rPr>
        <w:fldChar w:fldCharType="separate"/>
      </w:r>
      <w:r w:rsidR="009939DC" w:rsidRPr="00CC674A">
        <w:rPr>
          <w:noProof/>
          <w:color w:val="808080" w:themeColor="background1" w:themeShade="80"/>
        </w:rPr>
        <w:t>Insert trade name here</w:t>
      </w:r>
      <w:r w:rsidR="009939DC" w:rsidRPr="00CC674A">
        <w:rPr>
          <w:color w:val="808080" w:themeColor="background1" w:themeShade="80"/>
        </w:rPr>
        <w:fldChar w:fldCharType="end"/>
      </w:r>
    </w:p>
    <w:p w:rsidR="001E6958" w:rsidRPr="00CC674A" w:rsidRDefault="001E6958" w:rsidP="00A6491A">
      <w:pPr>
        <w:spacing w:before="0" w:after="0"/>
        <w:ind w:left="284"/>
        <w:rPr>
          <w:color w:val="808080" w:themeColor="background1" w:themeShade="80"/>
        </w:rPr>
      </w:pPr>
      <w:r w:rsidRPr="00CC674A">
        <w:rPr>
          <w:color w:val="808080" w:themeColor="background1" w:themeShade="80"/>
        </w:rPr>
        <w:t xml:space="preserve">Clinical name of prostheses: </w:t>
      </w:r>
      <w:r w:rsidR="009939DC" w:rsidRPr="00CC674A">
        <w:rPr>
          <w:color w:val="808080" w:themeColor="background1" w:themeShade="80"/>
        </w:rPr>
        <w:fldChar w:fldCharType="begin">
          <w:ffData>
            <w:name w:val=""/>
            <w:enabled/>
            <w:calcOnExit w:val="0"/>
            <w:textInput>
              <w:default w:val="Insert clinical name here"/>
            </w:textInput>
          </w:ffData>
        </w:fldChar>
      </w:r>
      <w:r w:rsidR="009939DC" w:rsidRPr="00CC674A">
        <w:rPr>
          <w:color w:val="808080" w:themeColor="background1" w:themeShade="80"/>
        </w:rPr>
        <w:instrText xml:space="preserve"> FORMTEXT </w:instrText>
      </w:r>
      <w:r w:rsidR="009939DC" w:rsidRPr="00CC674A">
        <w:rPr>
          <w:color w:val="808080" w:themeColor="background1" w:themeShade="80"/>
        </w:rPr>
      </w:r>
      <w:r w:rsidR="009939DC" w:rsidRPr="00CC674A">
        <w:rPr>
          <w:color w:val="808080" w:themeColor="background1" w:themeShade="80"/>
        </w:rPr>
        <w:fldChar w:fldCharType="separate"/>
      </w:r>
      <w:r w:rsidR="009939DC" w:rsidRPr="00CC674A">
        <w:rPr>
          <w:noProof/>
          <w:color w:val="808080" w:themeColor="background1" w:themeShade="80"/>
        </w:rPr>
        <w:t>Insert clinical name here</w:t>
      </w:r>
      <w:r w:rsidR="009939DC" w:rsidRPr="00CC674A">
        <w:rPr>
          <w:color w:val="808080" w:themeColor="background1" w:themeShade="80"/>
        </w:rPr>
        <w:fldChar w:fldCharType="end"/>
      </w:r>
    </w:p>
    <w:p w:rsidR="001E6958" w:rsidRPr="00CC674A" w:rsidRDefault="001E6958" w:rsidP="00A6491A">
      <w:pPr>
        <w:spacing w:before="0" w:after="0"/>
        <w:ind w:left="284"/>
        <w:rPr>
          <w:color w:val="808080" w:themeColor="background1" w:themeShade="80"/>
        </w:rPr>
      </w:pPr>
      <w:r w:rsidRPr="00CC674A">
        <w:rPr>
          <w:color w:val="808080" w:themeColor="background1" w:themeShade="80"/>
        </w:rPr>
        <w:t xml:space="preserve">Other device components delivered as part of the service: </w:t>
      </w:r>
      <w:r w:rsidR="009939DC" w:rsidRPr="00CC674A">
        <w:rPr>
          <w:color w:val="808080" w:themeColor="background1" w:themeShade="80"/>
        </w:rPr>
        <w:fldChar w:fldCharType="begin">
          <w:ffData>
            <w:name w:val=""/>
            <w:enabled/>
            <w:calcOnExit w:val="0"/>
            <w:textInput>
              <w:default w:val="Insert description of device components here"/>
            </w:textInput>
          </w:ffData>
        </w:fldChar>
      </w:r>
      <w:r w:rsidR="009939DC" w:rsidRPr="00CC674A">
        <w:rPr>
          <w:color w:val="808080" w:themeColor="background1" w:themeShade="80"/>
        </w:rPr>
        <w:instrText xml:space="preserve"> FORMTEXT </w:instrText>
      </w:r>
      <w:r w:rsidR="009939DC" w:rsidRPr="00CC674A">
        <w:rPr>
          <w:color w:val="808080" w:themeColor="background1" w:themeShade="80"/>
        </w:rPr>
      </w:r>
      <w:r w:rsidR="009939DC" w:rsidRPr="00CC674A">
        <w:rPr>
          <w:color w:val="808080" w:themeColor="background1" w:themeShade="80"/>
        </w:rPr>
        <w:fldChar w:fldCharType="separate"/>
      </w:r>
      <w:r w:rsidR="009939DC" w:rsidRPr="00CC674A">
        <w:rPr>
          <w:noProof/>
          <w:color w:val="808080" w:themeColor="background1" w:themeShade="80"/>
        </w:rPr>
        <w:t>Insert description of device components here</w:t>
      </w:r>
      <w:r w:rsidR="009939DC" w:rsidRPr="00CC674A">
        <w:rPr>
          <w:color w:val="808080" w:themeColor="background1" w:themeShade="80"/>
        </w:rPr>
        <w:fldChar w:fldCharType="end"/>
      </w:r>
    </w:p>
    <w:p w:rsidR="009939DC" w:rsidRPr="00CC674A" w:rsidRDefault="009939DC" w:rsidP="009939DC">
      <w:pPr>
        <w:rPr>
          <w:color w:val="808080" w:themeColor="background1" w:themeShade="80"/>
        </w:rPr>
      </w:pPr>
    </w:p>
    <w:p w:rsidR="00411735" w:rsidRPr="00CC674A" w:rsidRDefault="00411735" w:rsidP="00530204">
      <w:pPr>
        <w:pStyle w:val="Heading2"/>
        <w:numPr>
          <w:ilvl w:val="0"/>
          <w:numId w:val="26"/>
        </w:numPr>
        <w:rPr>
          <w:color w:val="808080" w:themeColor="background1" w:themeShade="80"/>
        </w:rPr>
      </w:pPr>
      <w:r w:rsidRPr="00CC674A">
        <w:rPr>
          <w:color w:val="808080" w:themeColor="background1" w:themeShade="80"/>
        </w:rPr>
        <w:t xml:space="preserve">If no, is an application in the process of being considered by </w:t>
      </w:r>
      <w:r w:rsidR="003433D1" w:rsidRPr="00CC674A">
        <w:rPr>
          <w:color w:val="808080" w:themeColor="background1" w:themeShade="80"/>
        </w:rPr>
        <w:t xml:space="preserve">a Clinical Advisory Group or </w:t>
      </w:r>
      <w:r w:rsidRPr="00CC674A">
        <w:rPr>
          <w:color w:val="808080" w:themeColor="background1" w:themeShade="80"/>
        </w:rPr>
        <w:t>the</w:t>
      </w:r>
      <w:r w:rsidR="00BB003A" w:rsidRPr="00CC674A">
        <w:rPr>
          <w:color w:val="808080" w:themeColor="background1" w:themeShade="80"/>
        </w:rPr>
        <w:t xml:space="preserve"> Prostheses List Advisory Committee</w:t>
      </w:r>
      <w:r w:rsidRPr="00CC674A">
        <w:rPr>
          <w:color w:val="808080" w:themeColor="background1" w:themeShade="80"/>
        </w:rPr>
        <w:t xml:space="preserve"> </w:t>
      </w:r>
      <w:r w:rsidR="00BB003A" w:rsidRPr="00CC674A">
        <w:rPr>
          <w:color w:val="808080" w:themeColor="background1" w:themeShade="80"/>
        </w:rPr>
        <w:t>(</w:t>
      </w:r>
      <w:r w:rsidRPr="00CC674A">
        <w:rPr>
          <w:color w:val="808080" w:themeColor="background1" w:themeShade="80"/>
        </w:rPr>
        <w:t>PLAC</w:t>
      </w:r>
      <w:r w:rsidR="00BB003A" w:rsidRPr="00CC674A">
        <w:rPr>
          <w:color w:val="808080" w:themeColor="background1" w:themeShade="80"/>
        </w:rPr>
        <w:t>)</w:t>
      </w:r>
      <w:r w:rsidRPr="00CC674A">
        <w:rPr>
          <w:color w:val="808080" w:themeColor="background1" w:themeShade="80"/>
        </w:rPr>
        <w:t>?</w:t>
      </w:r>
    </w:p>
    <w:p w:rsidR="009939DC" w:rsidRPr="00CC674A" w:rsidRDefault="009939DC" w:rsidP="00A6491A">
      <w:pPr>
        <w:spacing w:before="0" w:after="0"/>
        <w:ind w:left="284"/>
        <w:rPr>
          <w:color w:val="808080" w:themeColor="background1" w:themeShade="80"/>
          <w:szCs w:val="20"/>
        </w:rPr>
      </w:pPr>
      <w:r w:rsidRPr="00CC674A">
        <w:rPr>
          <w:color w:val="808080" w:themeColor="background1" w:themeShade="80"/>
          <w:szCs w:val="20"/>
        </w:rPr>
        <w:fldChar w:fldCharType="begin">
          <w:ffData>
            <w:name w:val="Check1"/>
            <w:enabled/>
            <w:calcOnExit w:val="0"/>
            <w:checkBox>
              <w:sizeAuto/>
              <w:default w:val="0"/>
            </w:checkBox>
          </w:ffData>
        </w:fldChar>
      </w:r>
      <w:r w:rsidRPr="00CC674A">
        <w:rPr>
          <w:color w:val="808080" w:themeColor="background1" w:themeShade="80"/>
          <w:szCs w:val="20"/>
        </w:rPr>
        <w:instrText xml:space="preserve"> FORMCHECKBOX </w:instrText>
      </w:r>
      <w:r w:rsidR="00DD4A3B">
        <w:rPr>
          <w:color w:val="808080" w:themeColor="background1" w:themeShade="80"/>
          <w:szCs w:val="20"/>
        </w:rPr>
      </w:r>
      <w:r w:rsidR="00DD4A3B">
        <w:rPr>
          <w:color w:val="808080" w:themeColor="background1" w:themeShade="80"/>
          <w:szCs w:val="20"/>
        </w:rPr>
        <w:fldChar w:fldCharType="separate"/>
      </w:r>
      <w:r w:rsidRPr="00CC674A">
        <w:rPr>
          <w:color w:val="808080" w:themeColor="background1" w:themeShade="80"/>
          <w:szCs w:val="20"/>
        </w:rPr>
        <w:fldChar w:fldCharType="end"/>
      </w:r>
      <w:r w:rsidRPr="00CC674A">
        <w:rPr>
          <w:color w:val="808080" w:themeColor="background1" w:themeShade="80"/>
          <w:szCs w:val="20"/>
        </w:rPr>
        <w:t xml:space="preserve"> Yes</w:t>
      </w:r>
    </w:p>
    <w:p w:rsidR="001E6958" w:rsidRPr="00CC674A" w:rsidRDefault="009939DC" w:rsidP="00A6491A">
      <w:pPr>
        <w:spacing w:before="0" w:after="0"/>
        <w:ind w:left="284"/>
        <w:rPr>
          <w:color w:val="808080" w:themeColor="background1" w:themeShade="80"/>
          <w:szCs w:val="20"/>
        </w:rPr>
      </w:pPr>
      <w:r w:rsidRPr="00CC674A">
        <w:rPr>
          <w:color w:val="808080" w:themeColor="background1" w:themeShade="80"/>
          <w:szCs w:val="20"/>
        </w:rPr>
        <w:fldChar w:fldCharType="begin">
          <w:ffData>
            <w:name w:val="Check2"/>
            <w:enabled/>
            <w:calcOnExit w:val="0"/>
            <w:checkBox>
              <w:sizeAuto/>
              <w:default w:val="0"/>
            </w:checkBox>
          </w:ffData>
        </w:fldChar>
      </w:r>
      <w:r w:rsidRPr="00CC674A">
        <w:rPr>
          <w:color w:val="808080" w:themeColor="background1" w:themeShade="80"/>
          <w:szCs w:val="20"/>
        </w:rPr>
        <w:instrText xml:space="preserve"> FORMCHECKBOX </w:instrText>
      </w:r>
      <w:r w:rsidR="00DD4A3B">
        <w:rPr>
          <w:color w:val="808080" w:themeColor="background1" w:themeShade="80"/>
          <w:szCs w:val="20"/>
        </w:rPr>
      </w:r>
      <w:r w:rsidR="00DD4A3B">
        <w:rPr>
          <w:color w:val="808080" w:themeColor="background1" w:themeShade="80"/>
          <w:szCs w:val="20"/>
        </w:rPr>
        <w:fldChar w:fldCharType="separate"/>
      </w:r>
      <w:r w:rsidRPr="00CC674A">
        <w:rPr>
          <w:color w:val="808080" w:themeColor="background1" w:themeShade="80"/>
          <w:szCs w:val="20"/>
        </w:rPr>
        <w:fldChar w:fldCharType="end"/>
      </w:r>
      <w:r w:rsidRPr="00CC674A">
        <w:rPr>
          <w:color w:val="808080" w:themeColor="background1" w:themeShade="80"/>
          <w:szCs w:val="20"/>
        </w:rPr>
        <w:t xml:space="preserve"> No  </w:t>
      </w:r>
    </w:p>
    <w:p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rsidR="009939DC" w:rsidRDefault="00CC674A"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D4A3B">
        <w:rPr>
          <w:szCs w:val="20"/>
        </w:rPr>
      </w:r>
      <w:r w:rsidR="00DD4A3B">
        <w:rPr>
          <w:szCs w:val="20"/>
        </w:rPr>
        <w:fldChar w:fldCharType="separate"/>
      </w:r>
      <w:r>
        <w:rPr>
          <w:szCs w:val="20"/>
        </w:rPr>
        <w:fldChar w:fldCharType="end"/>
      </w:r>
      <w:r w:rsidR="009939DC" w:rsidRPr="000A5B32">
        <w:rPr>
          <w:szCs w:val="20"/>
        </w:rPr>
        <w:t xml:space="preserve"> Yes</w:t>
      </w:r>
    </w:p>
    <w:p w:rsidR="009939DC" w:rsidRPr="001E6958"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DD4A3B">
        <w:rPr>
          <w:szCs w:val="20"/>
        </w:rPr>
      </w:r>
      <w:r w:rsidR="00DD4A3B">
        <w:rPr>
          <w:szCs w:val="20"/>
        </w:rPr>
        <w:fldChar w:fldCharType="separate"/>
      </w:r>
      <w:r w:rsidRPr="000A5B32">
        <w:rPr>
          <w:szCs w:val="20"/>
        </w:rPr>
        <w:fldChar w:fldCharType="end"/>
      </w:r>
      <w:r>
        <w:rPr>
          <w:szCs w:val="20"/>
        </w:rPr>
        <w:t xml:space="preserve"> No  </w:t>
      </w:r>
    </w:p>
    <w:p w:rsidR="009939DC" w:rsidRDefault="00016B6E" w:rsidP="00530204">
      <w:pPr>
        <w:pStyle w:val="Heading2"/>
        <w:numPr>
          <w:ilvl w:val="0"/>
          <w:numId w:val="26"/>
        </w:numPr>
      </w:pPr>
      <w:r w:rsidRPr="009939DC">
        <w:t>If yes, please provide the name(s) of the spon</w:t>
      </w:r>
      <w:r w:rsidR="009939DC">
        <w:t>sor(s) and / or manufacturer(s):</w:t>
      </w:r>
    </w:p>
    <w:tbl>
      <w:tblPr>
        <w:tblStyle w:val="TableGrid3"/>
        <w:tblW w:w="8335" w:type="dxa"/>
        <w:tblInd w:w="392" w:type="dxa"/>
        <w:tblLook w:val="04A0" w:firstRow="1" w:lastRow="0" w:firstColumn="1" w:lastColumn="0" w:noHBand="0" w:noVBand="1"/>
        <w:tblCaption w:val="Table"/>
        <w:tblDescription w:val="Names of sponsors"/>
      </w:tblPr>
      <w:tblGrid>
        <w:gridCol w:w="3827"/>
        <w:gridCol w:w="4508"/>
      </w:tblGrid>
      <w:tr w:rsidR="00B01CB9" w:rsidRPr="00B01CB9" w:rsidTr="00FA0B55">
        <w:trPr>
          <w:tblHeader/>
        </w:trPr>
        <w:tc>
          <w:tcPr>
            <w:tcW w:w="3827" w:type="dxa"/>
          </w:tcPr>
          <w:p w:rsidR="00B01CB9" w:rsidRPr="00B01CB9" w:rsidRDefault="00B01CB9" w:rsidP="00B01CB9">
            <w:pPr>
              <w:spacing w:before="60" w:after="60"/>
              <w:rPr>
                <w:b/>
              </w:rPr>
            </w:pPr>
            <w:r w:rsidRPr="00B01CB9">
              <w:rPr>
                <w:b/>
              </w:rPr>
              <w:t>Sponsor</w:t>
            </w:r>
          </w:p>
        </w:tc>
        <w:tc>
          <w:tcPr>
            <w:tcW w:w="4508" w:type="dxa"/>
          </w:tcPr>
          <w:p w:rsidR="00B01CB9" w:rsidRPr="00B01CB9" w:rsidRDefault="00B01CB9" w:rsidP="00B01CB9">
            <w:pPr>
              <w:spacing w:before="60" w:after="60"/>
              <w:rPr>
                <w:b/>
              </w:rPr>
            </w:pPr>
            <w:r w:rsidRPr="00B01CB9">
              <w:rPr>
                <w:b/>
              </w:rPr>
              <w:t>Manufacturer</w:t>
            </w:r>
          </w:p>
        </w:tc>
      </w:tr>
      <w:tr w:rsidR="00B01CB9" w:rsidRPr="00B01CB9" w:rsidTr="00F85A6F">
        <w:tc>
          <w:tcPr>
            <w:tcW w:w="3827" w:type="dxa"/>
          </w:tcPr>
          <w:p w:rsidR="00B01CB9" w:rsidRPr="00B01CB9" w:rsidRDefault="00B01CB9" w:rsidP="00B01CB9">
            <w:pPr>
              <w:spacing w:before="60" w:after="60"/>
            </w:pPr>
            <w:r w:rsidRPr="00B01CB9">
              <w:t>HealthStats Australia</w:t>
            </w:r>
          </w:p>
        </w:tc>
        <w:tc>
          <w:tcPr>
            <w:tcW w:w="4508" w:type="dxa"/>
          </w:tcPr>
          <w:p w:rsidR="00B01CB9" w:rsidRPr="00B01CB9" w:rsidRDefault="00B01CB9" w:rsidP="00B01CB9">
            <w:pPr>
              <w:spacing w:before="60" w:after="60"/>
              <w:rPr>
                <w:szCs w:val="20"/>
              </w:rPr>
            </w:pPr>
            <w:r w:rsidRPr="00B01CB9">
              <w:rPr>
                <w:color w:val="333333"/>
                <w:szCs w:val="20"/>
                <w:shd w:val="clear" w:color="auto" w:fill="FFFFFF"/>
              </w:rPr>
              <w:t>HealthSTATS International Pte Ltd</w:t>
            </w:r>
          </w:p>
        </w:tc>
      </w:tr>
      <w:tr w:rsidR="00B01CB9" w:rsidRPr="00B01CB9" w:rsidTr="00F85A6F">
        <w:tc>
          <w:tcPr>
            <w:tcW w:w="3827" w:type="dxa"/>
          </w:tcPr>
          <w:p w:rsidR="00B01CB9" w:rsidRPr="00B01CB9" w:rsidRDefault="00B01CB9" w:rsidP="00B01CB9">
            <w:pPr>
              <w:spacing w:before="60" w:after="60"/>
            </w:pPr>
            <w:r w:rsidRPr="00B01CB9">
              <w:t>Atcor Medical Pty Ltd</w:t>
            </w:r>
          </w:p>
        </w:tc>
        <w:tc>
          <w:tcPr>
            <w:tcW w:w="4508" w:type="dxa"/>
          </w:tcPr>
          <w:p w:rsidR="00B01CB9" w:rsidRPr="00B01CB9" w:rsidRDefault="00B01CB9" w:rsidP="00B01CB9">
            <w:pPr>
              <w:spacing w:before="60" w:after="60"/>
            </w:pPr>
            <w:r w:rsidRPr="00B01CB9">
              <w:t>SunTech Medical Inc</w:t>
            </w:r>
          </w:p>
        </w:tc>
      </w:tr>
      <w:tr w:rsidR="00B01CB9" w:rsidRPr="00B01CB9" w:rsidTr="00F85A6F">
        <w:tc>
          <w:tcPr>
            <w:tcW w:w="3827" w:type="dxa"/>
          </w:tcPr>
          <w:p w:rsidR="00B01CB9" w:rsidRPr="00B01CB9" w:rsidRDefault="00B01CB9" w:rsidP="00B01CB9">
            <w:pPr>
              <w:spacing w:before="60" w:after="60"/>
            </w:pPr>
            <w:r w:rsidRPr="00B01CB9">
              <w:t>Australian Sales and Trade Services (ASTS)</w:t>
            </w:r>
          </w:p>
        </w:tc>
        <w:tc>
          <w:tcPr>
            <w:tcW w:w="4508" w:type="dxa"/>
          </w:tcPr>
          <w:p w:rsidR="00B01CB9" w:rsidRPr="00B01CB9" w:rsidRDefault="00B01CB9" w:rsidP="00B01CB9">
            <w:pPr>
              <w:spacing w:before="60" w:after="60"/>
            </w:pPr>
            <w:r w:rsidRPr="00B01CB9">
              <w:t>Andon Health Co Ltd</w:t>
            </w:r>
          </w:p>
        </w:tc>
      </w:tr>
      <w:tr w:rsidR="00B01CB9" w:rsidRPr="00B01CB9" w:rsidTr="00F85A6F">
        <w:tc>
          <w:tcPr>
            <w:tcW w:w="3827" w:type="dxa"/>
          </w:tcPr>
          <w:p w:rsidR="00B01CB9" w:rsidRPr="00B01CB9" w:rsidRDefault="00B01CB9" w:rsidP="00B01CB9">
            <w:pPr>
              <w:spacing w:before="60" w:after="60"/>
            </w:pPr>
            <w:r w:rsidRPr="00B01CB9">
              <w:t>Core Diagnostics Pty Ltd</w:t>
            </w:r>
          </w:p>
        </w:tc>
        <w:tc>
          <w:tcPr>
            <w:tcW w:w="4508" w:type="dxa"/>
          </w:tcPr>
          <w:p w:rsidR="00B01CB9" w:rsidRPr="00B01CB9" w:rsidRDefault="00B01CB9" w:rsidP="00B01CB9">
            <w:pPr>
              <w:spacing w:before="60" w:after="60"/>
            </w:pPr>
            <w:r w:rsidRPr="00B01CB9">
              <w:t>DM Systems (Beijing) Co Limited</w:t>
            </w:r>
          </w:p>
        </w:tc>
      </w:tr>
      <w:tr w:rsidR="00B01CB9" w:rsidRPr="00B01CB9" w:rsidTr="00F85A6F">
        <w:tc>
          <w:tcPr>
            <w:tcW w:w="3827" w:type="dxa"/>
          </w:tcPr>
          <w:p w:rsidR="00B01CB9" w:rsidRPr="00B01CB9" w:rsidRDefault="00B01CB9" w:rsidP="00B01CB9">
            <w:pPr>
              <w:spacing w:before="60" w:after="60"/>
            </w:pPr>
            <w:r w:rsidRPr="00B01CB9">
              <w:t>Ecomed Pty Ltd</w:t>
            </w:r>
          </w:p>
        </w:tc>
        <w:tc>
          <w:tcPr>
            <w:tcW w:w="4508" w:type="dxa"/>
          </w:tcPr>
          <w:p w:rsidR="00B01CB9" w:rsidRPr="00B01CB9" w:rsidRDefault="00B01CB9" w:rsidP="00B01CB9">
            <w:pPr>
              <w:spacing w:before="60" w:after="60"/>
            </w:pPr>
            <w:r w:rsidRPr="00B01CB9">
              <w:t>Spacelabs Healthcare Inc</w:t>
            </w:r>
          </w:p>
        </w:tc>
      </w:tr>
      <w:tr w:rsidR="00B01CB9" w:rsidRPr="00B01CB9" w:rsidTr="00F85A6F">
        <w:tc>
          <w:tcPr>
            <w:tcW w:w="3827" w:type="dxa"/>
          </w:tcPr>
          <w:p w:rsidR="00B01CB9" w:rsidRPr="00B01CB9" w:rsidRDefault="00B01CB9" w:rsidP="00B01CB9">
            <w:pPr>
              <w:spacing w:before="60" w:after="60"/>
            </w:pPr>
            <w:r w:rsidRPr="00B01CB9">
              <w:t>Cellmed Pty Ltd</w:t>
            </w:r>
          </w:p>
        </w:tc>
        <w:tc>
          <w:tcPr>
            <w:tcW w:w="4508" w:type="dxa"/>
          </w:tcPr>
          <w:p w:rsidR="00B01CB9" w:rsidRPr="00B01CB9" w:rsidRDefault="00B01CB9" w:rsidP="00B01CB9">
            <w:pPr>
              <w:spacing w:before="60" w:after="60"/>
            </w:pPr>
            <w:r w:rsidRPr="00B01CB9">
              <w:t>SunTech Medical Inc</w:t>
            </w:r>
          </w:p>
        </w:tc>
      </w:tr>
      <w:tr w:rsidR="00B01CB9" w:rsidRPr="00B01CB9" w:rsidTr="00F85A6F">
        <w:tc>
          <w:tcPr>
            <w:tcW w:w="3827" w:type="dxa"/>
          </w:tcPr>
          <w:p w:rsidR="00B01CB9" w:rsidRPr="00B01CB9" w:rsidRDefault="00B01CB9" w:rsidP="00B01CB9">
            <w:pPr>
              <w:spacing w:before="60" w:after="60"/>
            </w:pPr>
            <w:r w:rsidRPr="00B01CB9">
              <w:t>A &amp; D Australasia Pty Ltd</w:t>
            </w:r>
          </w:p>
        </w:tc>
        <w:tc>
          <w:tcPr>
            <w:tcW w:w="4508" w:type="dxa"/>
          </w:tcPr>
          <w:p w:rsidR="00B01CB9" w:rsidRPr="00B01CB9" w:rsidRDefault="00B01CB9" w:rsidP="00B01CB9">
            <w:pPr>
              <w:spacing w:before="60" w:after="60"/>
            </w:pPr>
            <w:r w:rsidRPr="00B01CB9">
              <w:t>A &amp; D Co Ltd</w:t>
            </w:r>
          </w:p>
        </w:tc>
      </w:tr>
      <w:tr w:rsidR="00B01CB9" w:rsidRPr="00B01CB9" w:rsidTr="00F85A6F">
        <w:tc>
          <w:tcPr>
            <w:tcW w:w="3827" w:type="dxa"/>
          </w:tcPr>
          <w:p w:rsidR="00B01CB9" w:rsidRPr="00B01CB9" w:rsidRDefault="00B01CB9" w:rsidP="00B01CB9">
            <w:pPr>
              <w:spacing w:before="60" w:after="60"/>
            </w:pPr>
            <w:r w:rsidRPr="00B01CB9">
              <w:t>Welch Allyn Australia Pty Limited</w:t>
            </w:r>
          </w:p>
        </w:tc>
        <w:tc>
          <w:tcPr>
            <w:tcW w:w="4508" w:type="dxa"/>
          </w:tcPr>
          <w:p w:rsidR="00B01CB9" w:rsidRPr="00B01CB9" w:rsidRDefault="00B01CB9" w:rsidP="00B01CB9">
            <w:pPr>
              <w:spacing w:before="60" w:after="60"/>
            </w:pPr>
            <w:r w:rsidRPr="00B01CB9">
              <w:t>IEM GmbH Industrielle Entwicklung Medizintechnik und Vertriebsgesellschaft mbH</w:t>
            </w:r>
          </w:p>
        </w:tc>
      </w:tr>
      <w:tr w:rsidR="00B01CB9" w:rsidRPr="00B01CB9" w:rsidTr="00F85A6F">
        <w:tc>
          <w:tcPr>
            <w:tcW w:w="3827" w:type="dxa"/>
          </w:tcPr>
          <w:p w:rsidR="00B01CB9" w:rsidRPr="00B01CB9" w:rsidRDefault="00B01CB9" w:rsidP="00B01CB9">
            <w:pPr>
              <w:spacing w:before="60" w:after="60"/>
            </w:pPr>
            <w:r w:rsidRPr="00B01CB9">
              <w:t>Cardioscan Services Pty Ltd</w:t>
            </w:r>
          </w:p>
        </w:tc>
        <w:tc>
          <w:tcPr>
            <w:tcW w:w="4508" w:type="dxa"/>
          </w:tcPr>
          <w:p w:rsidR="00B01CB9" w:rsidRPr="00B01CB9" w:rsidRDefault="00B01CB9" w:rsidP="00B01CB9">
            <w:pPr>
              <w:spacing w:before="60" w:after="60"/>
            </w:pPr>
            <w:r w:rsidRPr="00B01CB9">
              <w:t>IEM GmbH Industrielle Entwicklung Medizintechnik und Vertriebsgesellschaft mbH</w:t>
            </w:r>
          </w:p>
        </w:tc>
      </w:tr>
      <w:tr w:rsidR="00B01CB9" w:rsidRPr="00B01CB9" w:rsidTr="00F85A6F">
        <w:tc>
          <w:tcPr>
            <w:tcW w:w="3827" w:type="dxa"/>
          </w:tcPr>
          <w:p w:rsidR="00B01CB9" w:rsidRPr="00B01CB9" w:rsidRDefault="00B01CB9" w:rsidP="00B01CB9">
            <w:pPr>
              <w:spacing w:before="60" w:after="60"/>
            </w:pPr>
            <w:r w:rsidRPr="00B01CB9">
              <w:t>GE Healthcare Australia Pty Ltd</w:t>
            </w:r>
          </w:p>
        </w:tc>
        <w:tc>
          <w:tcPr>
            <w:tcW w:w="4508" w:type="dxa"/>
          </w:tcPr>
          <w:p w:rsidR="00B01CB9" w:rsidRPr="00B01CB9" w:rsidRDefault="00B01CB9" w:rsidP="00B01CB9">
            <w:pPr>
              <w:spacing w:before="60" w:after="60"/>
            </w:pPr>
            <w:r w:rsidRPr="00B01CB9">
              <w:t>GE Medical Systems Information Technologies</w:t>
            </w:r>
          </w:p>
        </w:tc>
      </w:tr>
      <w:tr w:rsidR="00B01CB9" w:rsidRPr="00B01CB9" w:rsidTr="00F85A6F">
        <w:tc>
          <w:tcPr>
            <w:tcW w:w="3827" w:type="dxa"/>
          </w:tcPr>
          <w:p w:rsidR="00B01CB9" w:rsidRPr="00B01CB9" w:rsidRDefault="00B01CB9" w:rsidP="00B01CB9">
            <w:pPr>
              <w:spacing w:before="60" w:after="60"/>
            </w:pPr>
            <w:r w:rsidRPr="00B01CB9">
              <w:t>InMed Healthcare Pty Ltd</w:t>
            </w:r>
          </w:p>
        </w:tc>
        <w:tc>
          <w:tcPr>
            <w:tcW w:w="4508" w:type="dxa"/>
          </w:tcPr>
          <w:p w:rsidR="00B01CB9" w:rsidRPr="00B01CB9" w:rsidRDefault="00B01CB9" w:rsidP="00B01CB9">
            <w:pPr>
              <w:spacing w:before="60" w:after="60"/>
            </w:pPr>
            <w:r w:rsidRPr="00B01CB9">
              <w:t>Meditech KFT</w:t>
            </w:r>
          </w:p>
        </w:tc>
      </w:tr>
    </w:tbl>
    <w:p w:rsidR="00016B6E" w:rsidRPr="008E0C46" w:rsidRDefault="00016B6E" w:rsidP="00A6491A">
      <w:pPr>
        <w:ind w:left="284"/>
        <w:rPr>
          <w:color w:val="FF0000"/>
        </w:rPr>
      </w:pPr>
    </w:p>
    <w:p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rsidR="00B01CB9" w:rsidRDefault="00B01CB9" w:rsidP="00B01CB9">
      <w:pPr>
        <w:spacing w:after="0"/>
        <w:ind w:left="284"/>
        <w:jc w:val="both"/>
      </w:pPr>
      <w:r>
        <w:t>Single use consumables: N/A</w:t>
      </w:r>
    </w:p>
    <w:p w:rsidR="00B01CB9" w:rsidRDefault="00B01CB9" w:rsidP="00B01CB9">
      <w:pPr>
        <w:spacing w:after="0"/>
        <w:ind w:left="284"/>
        <w:jc w:val="both"/>
      </w:pPr>
      <w:r>
        <w:t>Multi-use consumables:</w:t>
      </w:r>
      <w:r w:rsidRPr="009939DC">
        <w:t xml:space="preserve"> </w:t>
      </w:r>
      <w:r w:rsidRPr="00601288">
        <w:t>The Ambulatory Blood pressure monitor consists of the device, and a number of different sized arm cuffs</w:t>
      </w:r>
      <w:r w:rsidR="004D1717">
        <w:t>/sensors</w:t>
      </w:r>
      <w:r w:rsidRPr="00601288">
        <w:t>, and an air hose that connects the cuff</w:t>
      </w:r>
      <w:r w:rsidR="004D1717">
        <w:t>/sensor</w:t>
      </w:r>
      <w:r w:rsidRPr="00601288">
        <w:t xml:space="preserve"> and the device. Whilst the device has a useful life of 5 years, the arm cuffs</w:t>
      </w:r>
      <w:r w:rsidR="004D1717">
        <w:t>/sensors</w:t>
      </w:r>
      <w:r w:rsidRPr="00601288">
        <w:t xml:space="preserve"> and the hose are reused on subsequent patients, b</w:t>
      </w:r>
      <w:r>
        <w:t>u</w:t>
      </w:r>
      <w:r w:rsidRPr="00601288">
        <w:t xml:space="preserve">t </w:t>
      </w:r>
      <w:r>
        <w:t xml:space="preserve">as </w:t>
      </w:r>
      <w:r w:rsidRPr="00601288">
        <w:t xml:space="preserve">over time these components perish and wear out, </w:t>
      </w:r>
      <w:r>
        <w:t>they</w:t>
      </w:r>
      <w:r w:rsidRPr="00601288">
        <w:t xml:space="preserve"> are considered mult</w:t>
      </w:r>
      <w:r>
        <w:t>i-</w:t>
      </w:r>
      <w:r w:rsidRPr="00601288">
        <w:t>use consumables.</w:t>
      </w:r>
    </w:p>
    <w:p w:rsidR="00F301F1" w:rsidRPr="00855944" w:rsidRDefault="00F301F1" w:rsidP="00B01CB9">
      <w:pPr>
        <w:spacing w:after="0"/>
        <w:ind w:left="284"/>
        <w:jc w:val="both"/>
      </w:pPr>
      <w:r w:rsidRPr="00855944">
        <w:br w:type="page"/>
      </w:r>
    </w:p>
    <w:p w:rsidR="00226777" w:rsidRPr="00C776B1" w:rsidRDefault="00530204" w:rsidP="00B5731D">
      <w:pPr>
        <w:pStyle w:val="Heading1"/>
      </w:pPr>
      <w:r>
        <w:lastRenderedPageBreak/>
        <w:t>PART 3</w:t>
      </w:r>
      <w:r w:rsidR="00F93784">
        <w:t xml:space="preserve"> – </w:t>
      </w:r>
      <w:r w:rsidR="00226777" w:rsidRPr="00C776B1">
        <w:t>INFORMATION ABOUT REGULATORY REQUIREMENTS</w:t>
      </w:r>
    </w:p>
    <w:p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rsidR="00B01CB9" w:rsidRPr="004D5C7C" w:rsidRDefault="00B01CB9" w:rsidP="00B01CB9">
      <w:pPr>
        <w:spacing w:before="0" w:after="0"/>
        <w:ind w:left="284"/>
        <w:rPr>
          <w:szCs w:val="20"/>
        </w:rPr>
      </w:pPr>
      <w:r w:rsidRPr="00DB2C50">
        <w:rPr>
          <w:b/>
          <w:szCs w:val="20"/>
        </w:rPr>
        <w:t>Type of therapeutic good</w:t>
      </w:r>
      <w:r w:rsidRPr="004D5C7C">
        <w:rPr>
          <w:szCs w:val="20"/>
        </w:rPr>
        <w:t xml:space="preserve">: </w:t>
      </w:r>
      <w:r w:rsidRPr="004D5C7C">
        <w:rPr>
          <w:color w:val="333333"/>
          <w:szCs w:val="20"/>
          <w:shd w:val="clear" w:color="auto" w:fill="FFFFFF"/>
        </w:rPr>
        <w:t>HealthSTATS BPro Ambulatory Blood Pressure Monitoring System - Patient data recorder, long-term, sphygmomanometer</w:t>
      </w:r>
    </w:p>
    <w:p w:rsidR="00B01CB9" w:rsidRPr="004D5C7C" w:rsidRDefault="00B01CB9" w:rsidP="00B01CB9">
      <w:pPr>
        <w:spacing w:before="0" w:after="0"/>
        <w:ind w:left="284"/>
        <w:rPr>
          <w:szCs w:val="20"/>
        </w:rPr>
      </w:pPr>
      <w:r w:rsidRPr="00DB2C50">
        <w:rPr>
          <w:b/>
          <w:szCs w:val="20"/>
        </w:rPr>
        <w:t>Manufacturer’s name</w:t>
      </w:r>
      <w:r w:rsidRPr="004D5C7C">
        <w:rPr>
          <w:szCs w:val="20"/>
        </w:rPr>
        <w:t xml:space="preserve">: </w:t>
      </w:r>
      <w:r w:rsidRPr="004D5C7C">
        <w:rPr>
          <w:color w:val="333333"/>
          <w:szCs w:val="20"/>
          <w:shd w:val="clear" w:color="auto" w:fill="FFFFFF"/>
        </w:rPr>
        <w:t>HealthSTATS International Pte Ltd</w:t>
      </w:r>
    </w:p>
    <w:p w:rsidR="00B01CB9" w:rsidRDefault="00B01CB9" w:rsidP="00B01CB9">
      <w:pPr>
        <w:spacing w:before="0" w:after="0"/>
        <w:ind w:left="284"/>
        <w:rPr>
          <w:color w:val="333333"/>
          <w:szCs w:val="20"/>
          <w:shd w:val="clear" w:color="auto" w:fill="FFFFFF"/>
        </w:rPr>
      </w:pPr>
      <w:r w:rsidRPr="00DB2C50">
        <w:rPr>
          <w:b/>
          <w:szCs w:val="20"/>
        </w:rPr>
        <w:t>Sponsor’s name</w:t>
      </w:r>
      <w:r w:rsidRPr="004D5C7C">
        <w:rPr>
          <w:szCs w:val="20"/>
        </w:rPr>
        <w:t xml:space="preserve">: </w:t>
      </w:r>
      <w:r w:rsidRPr="004D5C7C">
        <w:rPr>
          <w:color w:val="333333"/>
          <w:szCs w:val="20"/>
          <w:shd w:val="clear" w:color="auto" w:fill="FFFFFF"/>
        </w:rPr>
        <w:t>HealthSTATS Australia</w:t>
      </w:r>
    </w:p>
    <w:p w:rsidR="00B01CB9" w:rsidRDefault="00B01CB9" w:rsidP="00B01CB9">
      <w:pPr>
        <w:spacing w:before="0" w:after="0"/>
        <w:ind w:left="284"/>
        <w:rPr>
          <w:color w:val="333333"/>
          <w:szCs w:val="20"/>
          <w:shd w:val="clear" w:color="auto" w:fill="FFFFFF"/>
        </w:rPr>
      </w:pPr>
    </w:p>
    <w:p w:rsidR="00B01CB9" w:rsidRDefault="00B01CB9" w:rsidP="00B01CB9">
      <w:pPr>
        <w:spacing w:before="0" w:after="0"/>
        <w:ind w:left="284"/>
        <w:rPr>
          <w:szCs w:val="20"/>
        </w:rPr>
      </w:pPr>
      <w:r w:rsidRPr="00DB2C50">
        <w:rPr>
          <w:b/>
          <w:szCs w:val="20"/>
        </w:rPr>
        <w:t>Type of therapeutic good</w:t>
      </w:r>
      <w:r w:rsidRPr="004D5C7C">
        <w:rPr>
          <w:szCs w:val="20"/>
        </w:rPr>
        <w:t xml:space="preserve">: </w:t>
      </w:r>
      <w:r w:rsidRPr="004A2B96">
        <w:rPr>
          <w:szCs w:val="20"/>
        </w:rPr>
        <w:t>Patient data recorder, long-term, sphygmomanometer</w:t>
      </w:r>
    </w:p>
    <w:p w:rsidR="00B01CB9" w:rsidRPr="004D5C7C" w:rsidRDefault="00B01CB9" w:rsidP="00B01CB9">
      <w:pPr>
        <w:spacing w:before="0" w:after="0"/>
        <w:ind w:left="284"/>
        <w:rPr>
          <w:szCs w:val="20"/>
        </w:rPr>
      </w:pPr>
      <w:r w:rsidRPr="00DB2C50">
        <w:rPr>
          <w:b/>
          <w:szCs w:val="20"/>
        </w:rPr>
        <w:t>Manufacturer’s name</w:t>
      </w:r>
      <w:r w:rsidRPr="004D5C7C">
        <w:rPr>
          <w:szCs w:val="20"/>
        </w:rPr>
        <w:t xml:space="preserve">: </w:t>
      </w:r>
      <w:r w:rsidRPr="004A2B96">
        <w:rPr>
          <w:szCs w:val="20"/>
        </w:rPr>
        <w:t>SunTech Medical Inc</w:t>
      </w:r>
    </w:p>
    <w:p w:rsidR="00B01CB9" w:rsidRDefault="00B01CB9" w:rsidP="00B01CB9">
      <w:pPr>
        <w:spacing w:before="0" w:after="0"/>
        <w:ind w:left="284"/>
        <w:rPr>
          <w:szCs w:val="20"/>
        </w:rPr>
      </w:pPr>
      <w:r w:rsidRPr="00DB2C50">
        <w:rPr>
          <w:b/>
          <w:szCs w:val="20"/>
        </w:rPr>
        <w:t>Sponsor’s name</w:t>
      </w:r>
      <w:r w:rsidRPr="004D5C7C">
        <w:rPr>
          <w:szCs w:val="20"/>
        </w:rPr>
        <w:t xml:space="preserve">: </w:t>
      </w:r>
      <w:r w:rsidRPr="004A2B96">
        <w:rPr>
          <w:szCs w:val="20"/>
        </w:rPr>
        <w:t>SunTech Medical Inc</w:t>
      </w:r>
    </w:p>
    <w:p w:rsidR="00B01CB9" w:rsidRDefault="00B01CB9" w:rsidP="00B01CB9">
      <w:pPr>
        <w:spacing w:before="0" w:after="0"/>
        <w:ind w:left="284"/>
        <w:rPr>
          <w:szCs w:val="20"/>
        </w:rPr>
      </w:pPr>
    </w:p>
    <w:p w:rsidR="00B01CB9" w:rsidRDefault="00B01CB9" w:rsidP="00B01CB9">
      <w:pPr>
        <w:spacing w:before="0" w:after="0"/>
        <w:ind w:left="284"/>
        <w:rPr>
          <w:szCs w:val="20"/>
        </w:rPr>
      </w:pPr>
      <w:r w:rsidRPr="00DB2C50">
        <w:rPr>
          <w:b/>
          <w:szCs w:val="20"/>
        </w:rPr>
        <w:t xml:space="preserve">Type of therapeutic good: </w:t>
      </w:r>
      <w:r w:rsidRPr="004A2B96">
        <w:rPr>
          <w:szCs w:val="20"/>
        </w:rPr>
        <w:t>Blood pressure monitor - Sphygmomanometer, electronic, automatic-inflation, portable, arm/wrist</w:t>
      </w:r>
    </w:p>
    <w:p w:rsidR="00B01CB9" w:rsidRPr="004D5C7C" w:rsidRDefault="00B01CB9" w:rsidP="00B01CB9">
      <w:pPr>
        <w:spacing w:before="0" w:after="0"/>
        <w:ind w:left="284"/>
        <w:rPr>
          <w:szCs w:val="20"/>
        </w:rPr>
      </w:pPr>
      <w:r w:rsidRPr="00DB2C50">
        <w:rPr>
          <w:b/>
          <w:szCs w:val="20"/>
        </w:rPr>
        <w:t>Manufacturer’s name</w:t>
      </w:r>
      <w:r w:rsidRPr="004D5C7C">
        <w:rPr>
          <w:szCs w:val="20"/>
        </w:rPr>
        <w:t xml:space="preserve">: </w:t>
      </w:r>
      <w:r w:rsidRPr="00DB2C50">
        <w:rPr>
          <w:szCs w:val="20"/>
        </w:rPr>
        <w:t>Andon Health Co Ltd</w:t>
      </w:r>
    </w:p>
    <w:p w:rsidR="00B01CB9" w:rsidRDefault="00B01CB9" w:rsidP="00B01CB9">
      <w:pPr>
        <w:spacing w:before="0" w:after="0"/>
        <w:ind w:left="284"/>
        <w:rPr>
          <w:szCs w:val="20"/>
        </w:rPr>
      </w:pPr>
      <w:r w:rsidRPr="00DB2C50">
        <w:rPr>
          <w:b/>
          <w:szCs w:val="20"/>
        </w:rPr>
        <w:t>Sponsor’s name</w:t>
      </w:r>
      <w:r w:rsidRPr="004D5C7C">
        <w:rPr>
          <w:szCs w:val="20"/>
        </w:rPr>
        <w:t xml:space="preserve">: </w:t>
      </w:r>
      <w:r w:rsidRPr="00DB2C50">
        <w:rPr>
          <w:szCs w:val="20"/>
        </w:rPr>
        <w:t>Australian Sales and Trade Services (ASTS)</w:t>
      </w:r>
    </w:p>
    <w:p w:rsidR="00B01CB9" w:rsidRDefault="00B01CB9" w:rsidP="00B01CB9">
      <w:pPr>
        <w:spacing w:before="0" w:after="0"/>
        <w:ind w:left="284"/>
        <w:rPr>
          <w:szCs w:val="20"/>
        </w:rPr>
      </w:pPr>
    </w:p>
    <w:p w:rsidR="00B01CB9" w:rsidRPr="00601288" w:rsidRDefault="00B01CB9" w:rsidP="00B01CB9">
      <w:pPr>
        <w:spacing w:before="0" w:after="0"/>
        <w:ind w:left="284"/>
        <w:rPr>
          <w:szCs w:val="20"/>
        </w:rPr>
      </w:pPr>
      <w:r w:rsidRPr="00DB2C50">
        <w:rPr>
          <w:b/>
          <w:szCs w:val="20"/>
        </w:rPr>
        <w:t xml:space="preserve">Type of therapeutic good: </w:t>
      </w:r>
      <w:r>
        <w:rPr>
          <w:b/>
          <w:szCs w:val="20"/>
        </w:rPr>
        <w:t xml:space="preserve"> </w:t>
      </w:r>
      <w:r w:rsidRPr="00601288">
        <w:rPr>
          <w:szCs w:val="20"/>
        </w:rPr>
        <w:t>Automatic Blood Pressure Monitoring System - Automatic-inflation electronic sphygmomanometer, portable, arm/wrist</w:t>
      </w:r>
    </w:p>
    <w:p w:rsidR="00B01CB9" w:rsidRPr="004D5C7C" w:rsidRDefault="00B01CB9" w:rsidP="00B01CB9">
      <w:pPr>
        <w:spacing w:before="0" w:after="0"/>
        <w:ind w:left="284"/>
        <w:rPr>
          <w:szCs w:val="20"/>
        </w:rPr>
      </w:pPr>
      <w:r w:rsidRPr="00DB2C50">
        <w:rPr>
          <w:b/>
          <w:szCs w:val="20"/>
        </w:rPr>
        <w:t>Manufacturer’s name</w:t>
      </w:r>
      <w:r w:rsidRPr="004D5C7C">
        <w:rPr>
          <w:szCs w:val="20"/>
        </w:rPr>
        <w:t xml:space="preserve">: </w:t>
      </w:r>
      <w:r w:rsidRPr="00601288">
        <w:rPr>
          <w:szCs w:val="20"/>
        </w:rPr>
        <w:t>DM Systems (Beijing) Co Limited</w:t>
      </w:r>
    </w:p>
    <w:p w:rsidR="00B01CB9" w:rsidRDefault="00B01CB9" w:rsidP="00B01CB9">
      <w:pPr>
        <w:spacing w:before="0" w:after="0"/>
        <w:ind w:left="284"/>
        <w:rPr>
          <w:szCs w:val="20"/>
        </w:rPr>
      </w:pPr>
      <w:r w:rsidRPr="00DB2C50">
        <w:rPr>
          <w:b/>
          <w:szCs w:val="20"/>
        </w:rPr>
        <w:t>Sponsor’s name</w:t>
      </w:r>
      <w:r w:rsidRPr="004D5C7C">
        <w:rPr>
          <w:szCs w:val="20"/>
        </w:rPr>
        <w:t>:</w:t>
      </w:r>
      <w:r w:rsidRPr="00601288">
        <w:rPr>
          <w:rFonts w:ascii="Verdana" w:hAnsi="Verdana"/>
          <w:color w:val="333333"/>
          <w:sz w:val="21"/>
          <w:szCs w:val="21"/>
          <w:shd w:val="clear" w:color="auto" w:fill="FFFFFF"/>
        </w:rPr>
        <w:t xml:space="preserve"> </w:t>
      </w:r>
      <w:r w:rsidRPr="00601288">
        <w:rPr>
          <w:szCs w:val="20"/>
        </w:rPr>
        <w:t>Core Diagnostics Pty Ltd</w:t>
      </w:r>
    </w:p>
    <w:p w:rsidR="00B01CB9" w:rsidRDefault="00B01CB9" w:rsidP="00B01CB9">
      <w:pPr>
        <w:spacing w:before="0" w:after="0"/>
        <w:ind w:left="284"/>
        <w:rPr>
          <w:szCs w:val="20"/>
        </w:rPr>
      </w:pPr>
    </w:p>
    <w:p w:rsidR="00B01CB9" w:rsidRDefault="00B01CB9" w:rsidP="00B01CB9">
      <w:pPr>
        <w:spacing w:before="0" w:after="0"/>
        <w:ind w:left="284"/>
        <w:rPr>
          <w:b/>
          <w:szCs w:val="20"/>
        </w:rPr>
      </w:pPr>
      <w:r w:rsidRPr="00DB2C50">
        <w:rPr>
          <w:b/>
          <w:szCs w:val="20"/>
        </w:rPr>
        <w:t>Type of therapeutic good:</w:t>
      </w:r>
      <w:r w:rsidRPr="00083625">
        <w:rPr>
          <w:rFonts w:ascii="Verdana" w:hAnsi="Verdana"/>
          <w:color w:val="333333"/>
          <w:sz w:val="21"/>
          <w:szCs w:val="21"/>
          <w:shd w:val="clear" w:color="auto" w:fill="FFFFFF"/>
        </w:rPr>
        <w:t xml:space="preserve"> </w:t>
      </w:r>
      <w:r w:rsidRPr="00083625">
        <w:rPr>
          <w:szCs w:val="20"/>
        </w:rPr>
        <w:t>Patient data recorder, long-term, sphygmomanometer</w:t>
      </w:r>
      <w:r w:rsidRPr="00DB2C50">
        <w:rPr>
          <w:b/>
          <w:szCs w:val="20"/>
        </w:rPr>
        <w:t xml:space="preserve"> </w:t>
      </w:r>
      <w:r>
        <w:rPr>
          <w:b/>
          <w:szCs w:val="20"/>
        </w:rPr>
        <w:t xml:space="preserve"> </w:t>
      </w:r>
    </w:p>
    <w:p w:rsidR="00B01CB9" w:rsidRPr="004D5C7C" w:rsidRDefault="00B01CB9" w:rsidP="00B01CB9">
      <w:pPr>
        <w:spacing w:before="0" w:after="0"/>
        <w:ind w:left="284"/>
        <w:rPr>
          <w:szCs w:val="20"/>
        </w:rPr>
      </w:pPr>
      <w:r w:rsidRPr="00DB2C50">
        <w:rPr>
          <w:b/>
          <w:szCs w:val="20"/>
        </w:rPr>
        <w:t>Manufacturer’s name</w:t>
      </w:r>
      <w:r w:rsidRPr="004D5C7C">
        <w:rPr>
          <w:szCs w:val="20"/>
        </w:rPr>
        <w:t xml:space="preserve">: </w:t>
      </w:r>
      <w:r w:rsidRPr="00083625">
        <w:rPr>
          <w:szCs w:val="20"/>
        </w:rPr>
        <w:t>Spacelabs Healthcare Ltd</w:t>
      </w:r>
    </w:p>
    <w:p w:rsidR="00B01CB9" w:rsidRPr="00083625" w:rsidRDefault="00B01CB9" w:rsidP="00B01CB9">
      <w:pPr>
        <w:spacing w:before="0" w:after="0"/>
        <w:ind w:left="284"/>
        <w:rPr>
          <w:sz w:val="18"/>
          <w:szCs w:val="20"/>
        </w:rPr>
      </w:pPr>
      <w:r w:rsidRPr="00DB2C50">
        <w:rPr>
          <w:b/>
          <w:szCs w:val="20"/>
        </w:rPr>
        <w:t>Sponsor’s name</w:t>
      </w:r>
      <w:r w:rsidRPr="004D5C7C">
        <w:rPr>
          <w:szCs w:val="20"/>
        </w:rPr>
        <w:t>:</w:t>
      </w:r>
      <w:r w:rsidRPr="00601288">
        <w:rPr>
          <w:rFonts w:ascii="Verdana" w:hAnsi="Verdana"/>
          <w:color w:val="333333"/>
          <w:sz w:val="21"/>
          <w:szCs w:val="21"/>
          <w:shd w:val="clear" w:color="auto" w:fill="FFFFFF"/>
        </w:rPr>
        <w:t xml:space="preserve"> </w:t>
      </w:r>
      <w:r w:rsidRPr="00083625">
        <w:rPr>
          <w:color w:val="333333"/>
          <w:szCs w:val="21"/>
          <w:shd w:val="clear" w:color="auto" w:fill="FFFFFF"/>
        </w:rPr>
        <w:t>Ecomed Pty Ltd</w:t>
      </w:r>
    </w:p>
    <w:p w:rsidR="00B01CB9" w:rsidRDefault="00B01CB9" w:rsidP="00B01CB9">
      <w:pPr>
        <w:spacing w:before="0" w:after="0"/>
        <w:ind w:left="284"/>
        <w:rPr>
          <w:szCs w:val="20"/>
        </w:rPr>
      </w:pPr>
    </w:p>
    <w:p w:rsidR="00B01CB9" w:rsidRDefault="00B01CB9" w:rsidP="00B01CB9">
      <w:pPr>
        <w:spacing w:before="0" w:after="0"/>
        <w:ind w:left="284"/>
        <w:rPr>
          <w:b/>
          <w:szCs w:val="20"/>
        </w:rPr>
      </w:pPr>
      <w:r w:rsidRPr="00DB2C50">
        <w:rPr>
          <w:b/>
          <w:szCs w:val="20"/>
        </w:rPr>
        <w:t>Type of therapeutic good:</w:t>
      </w:r>
      <w:r w:rsidRPr="00083625">
        <w:rPr>
          <w:rFonts w:ascii="Verdana" w:hAnsi="Verdana"/>
          <w:color w:val="333333"/>
          <w:sz w:val="21"/>
          <w:szCs w:val="21"/>
          <w:shd w:val="clear" w:color="auto" w:fill="FFFFFF"/>
        </w:rPr>
        <w:t xml:space="preserve"> </w:t>
      </w:r>
      <w:r w:rsidRPr="00C46952">
        <w:rPr>
          <w:szCs w:val="20"/>
        </w:rPr>
        <w:t>Patient monitoring system module, blood pressure, non</w:t>
      </w:r>
      <w:r>
        <w:rPr>
          <w:szCs w:val="20"/>
        </w:rPr>
        <w:t>-</w:t>
      </w:r>
      <w:r w:rsidRPr="00C46952">
        <w:rPr>
          <w:szCs w:val="20"/>
        </w:rPr>
        <w:t>invasive</w:t>
      </w:r>
    </w:p>
    <w:p w:rsidR="00B01CB9" w:rsidRPr="004D5C7C" w:rsidRDefault="00B01CB9" w:rsidP="00B01CB9">
      <w:pPr>
        <w:spacing w:before="0" w:after="0"/>
        <w:ind w:left="284"/>
        <w:rPr>
          <w:szCs w:val="20"/>
        </w:rPr>
      </w:pPr>
      <w:r w:rsidRPr="00DB2C50">
        <w:rPr>
          <w:b/>
          <w:szCs w:val="20"/>
        </w:rPr>
        <w:t>Manufacturer’s name</w:t>
      </w:r>
      <w:r w:rsidRPr="004D5C7C">
        <w:rPr>
          <w:szCs w:val="20"/>
        </w:rPr>
        <w:t xml:space="preserve">: </w:t>
      </w:r>
      <w:r w:rsidRPr="00C46952">
        <w:rPr>
          <w:szCs w:val="20"/>
        </w:rPr>
        <w:t>SunTech Medical Inc</w:t>
      </w:r>
    </w:p>
    <w:p w:rsidR="00B01CB9" w:rsidRDefault="00B01CB9" w:rsidP="00B01CB9">
      <w:pPr>
        <w:spacing w:before="0" w:after="0"/>
        <w:ind w:left="284"/>
        <w:rPr>
          <w:color w:val="333333"/>
          <w:szCs w:val="21"/>
          <w:shd w:val="clear" w:color="auto" w:fill="FFFFFF"/>
        </w:rPr>
      </w:pPr>
      <w:r w:rsidRPr="00DB2C50">
        <w:rPr>
          <w:b/>
          <w:szCs w:val="20"/>
        </w:rPr>
        <w:t>Sponsor’s name</w:t>
      </w:r>
      <w:r w:rsidRPr="004D5C7C">
        <w:rPr>
          <w:szCs w:val="20"/>
        </w:rPr>
        <w:t>:</w:t>
      </w:r>
      <w:r w:rsidRPr="00083625">
        <w:rPr>
          <w:color w:val="333333"/>
          <w:szCs w:val="21"/>
          <w:shd w:val="clear" w:color="auto" w:fill="FFFFFF"/>
        </w:rPr>
        <w:t xml:space="preserve"> </w:t>
      </w:r>
      <w:r>
        <w:rPr>
          <w:color w:val="333333"/>
          <w:szCs w:val="21"/>
          <w:shd w:val="clear" w:color="auto" w:fill="FFFFFF"/>
        </w:rPr>
        <w:t xml:space="preserve">Cellmed </w:t>
      </w:r>
      <w:r w:rsidRPr="00083625">
        <w:rPr>
          <w:color w:val="333333"/>
          <w:szCs w:val="21"/>
          <w:shd w:val="clear" w:color="auto" w:fill="FFFFFF"/>
        </w:rPr>
        <w:t>Pty Ltd</w:t>
      </w:r>
    </w:p>
    <w:p w:rsidR="00B01CB9" w:rsidRDefault="00B01CB9" w:rsidP="00B01CB9">
      <w:pPr>
        <w:spacing w:before="0" w:after="0"/>
        <w:ind w:left="284"/>
        <w:rPr>
          <w:sz w:val="18"/>
          <w:szCs w:val="20"/>
        </w:rPr>
      </w:pPr>
    </w:p>
    <w:p w:rsidR="00B01CB9" w:rsidRDefault="00B01CB9" w:rsidP="00B01CB9">
      <w:pPr>
        <w:spacing w:before="0" w:after="0"/>
        <w:ind w:left="284"/>
        <w:rPr>
          <w:b/>
          <w:szCs w:val="20"/>
        </w:rPr>
      </w:pPr>
      <w:r w:rsidRPr="00DB2C50">
        <w:rPr>
          <w:b/>
          <w:szCs w:val="20"/>
        </w:rPr>
        <w:t>Type of therapeutic good:</w:t>
      </w:r>
      <w:r w:rsidRPr="00083625">
        <w:rPr>
          <w:rFonts w:ascii="Verdana" w:hAnsi="Verdana"/>
          <w:color w:val="333333"/>
          <w:sz w:val="21"/>
          <w:szCs w:val="21"/>
          <w:shd w:val="clear" w:color="auto" w:fill="FFFFFF"/>
        </w:rPr>
        <w:t xml:space="preserve"> </w:t>
      </w:r>
      <w:r w:rsidRPr="00C46952">
        <w:rPr>
          <w:szCs w:val="20"/>
        </w:rPr>
        <w:t>Patient monitor module, multifunction</w:t>
      </w:r>
    </w:p>
    <w:p w:rsidR="00B01CB9" w:rsidRPr="004D5C7C" w:rsidRDefault="00B01CB9" w:rsidP="00B01CB9">
      <w:pPr>
        <w:spacing w:before="0" w:after="0"/>
        <w:ind w:left="284"/>
        <w:rPr>
          <w:szCs w:val="20"/>
        </w:rPr>
      </w:pPr>
      <w:r w:rsidRPr="00DB2C50">
        <w:rPr>
          <w:b/>
          <w:szCs w:val="20"/>
        </w:rPr>
        <w:t>Manufacturer’s name</w:t>
      </w:r>
      <w:r w:rsidRPr="004D5C7C">
        <w:rPr>
          <w:szCs w:val="20"/>
        </w:rPr>
        <w:t>:</w:t>
      </w:r>
      <w:r>
        <w:rPr>
          <w:szCs w:val="20"/>
        </w:rPr>
        <w:t xml:space="preserve"> </w:t>
      </w:r>
      <w:r w:rsidRPr="004D5C7C">
        <w:rPr>
          <w:szCs w:val="20"/>
        </w:rPr>
        <w:t xml:space="preserve"> </w:t>
      </w:r>
      <w:r w:rsidRPr="00C46952">
        <w:rPr>
          <w:szCs w:val="20"/>
        </w:rPr>
        <w:t>A &amp; D Co Ltd</w:t>
      </w:r>
    </w:p>
    <w:p w:rsidR="00B01CB9" w:rsidRPr="00083625" w:rsidRDefault="00B01CB9" w:rsidP="00B01CB9">
      <w:pPr>
        <w:spacing w:before="0" w:after="0"/>
        <w:ind w:left="284"/>
        <w:rPr>
          <w:sz w:val="18"/>
          <w:szCs w:val="20"/>
        </w:rPr>
      </w:pPr>
      <w:r w:rsidRPr="00DB2C50">
        <w:rPr>
          <w:b/>
          <w:szCs w:val="20"/>
        </w:rPr>
        <w:t>Sponsor’s name</w:t>
      </w:r>
      <w:r w:rsidRPr="004D5C7C">
        <w:rPr>
          <w:szCs w:val="20"/>
        </w:rPr>
        <w:t>:</w:t>
      </w:r>
      <w:r w:rsidRPr="00083625">
        <w:rPr>
          <w:color w:val="333333"/>
          <w:szCs w:val="21"/>
          <w:shd w:val="clear" w:color="auto" w:fill="FFFFFF"/>
        </w:rPr>
        <w:t xml:space="preserve"> </w:t>
      </w:r>
      <w:r w:rsidRPr="00C46952">
        <w:rPr>
          <w:color w:val="333333"/>
          <w:szCs w:val="21"/>
          <w:shd w:val="clear" w:color="auto" w:fill="FFFFFF"/>
        </w:rPr>
        <w:t>A &amp; D Australasia Pty Ltd</w:t>
      </w:r>
    </w:p>
    <w:p w:rsidR="00B01CB9" w:rsidRPr="00083625" w:rsidRDefault="00B01CB9" w:rsidP="00B01CB9">
      <w:pPr>
        <w:spacing w:before="0" w:after="0"/>
        <w:ind w:left="284"/>
        <w:rPr>
          <w:sz w:val="18"/>
          <w:szCs w:val="20"/>
        </w:rPr>
      </w:pPr>
    </w:p>
    <w:p w:rsidR="00B01CB9" w:rsidRDefault="00B01CB9" w:rsidP="00B01CB9">
      <w:pPr>
        <w:spacing w:before="0" w:after="0"/>
        <w:ind w:left="284"/>
        <w:rPr>
          <w:b/>
          <w:szCs w:val="20"/>
        </w:rPr>
      </w:pPr>
      <w:r w:rsidRPr="00DB2C50">
        <w:rPr>
          <w:b/>
          <w:szCs w:val="20"/>
        </w:rPr>
        <w:t>Type of therapeutic good:</w:t>
      </w:r>
      <w:r w:rsidRPr="00083625">
        <w:rPr>
          <w:rFonts w:ascii="Verdana" w:hAnsi="Verdana"/>
          <w:color w:val="333333"/>
          <w:sz w:val="21"/>
          <w:szCs w:val="21"/>
          <w:shd w:val="clear" w:color="auto" w:fill="FFFFFF"/>
        </w:rPr>
        <w:t xml:space="preserve"> </w:t>
      </w:r>
      <w:r w:rsidRPr="00E1469E">
        <w:rPr>
          <w:szCs w:val="20"/>
        </w:rPr>
        <w:t>Patient data recorder, long-term, sphygmomanometer</w:t>
      </w:r>
    </w:p>
    <w:p w:rsidR="00B01CB9" w:rsidRDefault="00B01CB9" w:rsidP="00B01CB9">
      <w:pPr>
        <w:spacing w:before="0" w:after="0"/>
        <w:ind w:left="284"/>
        <w:rPr>
          <w:szCs w:val="20"/>
        </w:rPr>
      </w:pPr>
      <w:r w:rsidRPr="00DB2C50">
        <w:rPr>
          <w:b/>
          <w:szCs w:val="20"/>
        </w:rPr>
        <w:t>Manufacturer’s name</w:t>
      </w:r>
      <w:r w:rsidRPr="004D5C7C">
        <w:rPr>
          <w:szCs w:val="20"/>
        </w:rPr>
        <w:t>:</w:t>
      </w:r>
      <w:r>
        <w:rPr>
          <w:szCs w:val="20"/>
        </w:rPr>
        <w:t xml:space="preserve"> </w:t>
      </w:r>
      <w:r w:rsidRPr="004D5C7C">
        <w:rPr>
          <w:szCs w:val="20"/>
        </w:rPr>
        <w:t xml:space="preserve"> </w:t>
      </w:r>
      <w:r w:rsidRPr="00E1469E">
        <w:rPr>
          <w:szCs w:val="20"/>
        </w:rPr>
        <w:t>IEM GmbH Industrielle Entwicklung Medizintechnik und Vertriebsgesellschaft mbH</w:t>
      </w:r>
    </w:p>
    <w:p w:rsidR="00B01CB9" w:rsidRPr="00083625" w:rsidRDefault="00B01CB9" w:rsidP="00B01CB9">
      <w:pPr>
        <w:spacing w:before="0" w:after="0"/>
        <w:ind w:left="284"/>
        <w:rPr>
          <w:sz w:val="18"/>
          <w:szCs w:val="20"/>
        </w:rPr>
      </w:pPr>
      <w:r w:rsidRPr="00DB2C50">
        <w:rPr>
          <w:b/>
          <w:szCs w:val="20"/>
        </w:rPr>
        <w:t>Sponsor’s name</w:t>
      </w:r>
      <w:r w:rsidRPr="004D5C7C">
        <w:rPr>
          <w:szCs w:val="20"/>
        </w:rPr>
        <w:t>:</w:t>
      </w:r>
      <w:r w:rsidRPr="00083625">
        <w:rPr>
          <w:color w:val="333333"/>
          <w:szCs w:val="21"/>
          <w:shd w:val="clear" w:color="auto" w:fill="FFFFFF"/>
        </w:rPr>
        <w:t xml:space="preserve"> </w:t>
      </w:r>
      <w:r w:rsidRPr="00E1469E">
        <w:rPr>
          <w:color w:val="333333"/>
          <w:szCs w:val="21"/>
          <w:shd w:val="clear" w:color="auto" w:fill="FFFFFF"/>
        </w:rPr>
        <w:t>Welch Allyn Australia Pty Limited</w:t>
      </w:r>
    </w:p>
    <w:p w:rsidR="00B01CB9" w:rsidRDefault="00B01CB9" w:rsidP="00B01CB9">
      <w:pPr>
        <w:spacing w:before="0" w:after="0"/>
        <w:ind w:left="284"/>
        <w:rPr>
          <w:szCs w:val="20"/>
        </w:rPr>
      </w:pPr>
    </w:p>
    <w:p w:rsidR="00B01CB9" w:rsidRDefault="00B01CB9" w:rsidP="00B01CB9">
      <w:pPr>
        <w:spacing w:before="0" w:after="0"/>
        <w:ind w:left="284"/>
        <w:rPr>
          <w:b/>
          <w:szCs w:val="20"/>
        </w:rPr>
      </w:pPr>
      <w:r w:rsidRPr="00DB2C50">
        <w:rPr>
          <w:b/>
          <w:szCs w:val="20"/>
        </w:rPr>
        <w:t>Type of therapeutic good:</w:t>
      </w:r>
      <w:r w:rsidRPr="00083625">
        <w:rPr>
          <w:rFonts w:ascii="Verdana" w:hAnsi="Verdana"/>
          <w:color w:val="333333"/>
          <w:sz w:val="21"/>
          <w:szCs w:val="21"/>
          <w:shd w:val="clear" w:color="auto" w:fill="FFFFFF"/>
        </w:rPr>
        <w:t xml:space="preserve"> </w:t>
      </w:r>
      <w:r w:rsidRPr="00E1469E">
        <w:rPr>
          <w:szCs w:val="20"/>
        </w:rPr>
        <w:t>Sphygmomanometer, electronic, automatic</w:t>
      </w:r>
    </w:p>
    <w:p w:rsidR="00B01CB9" w:rsidRDefault="00B01CB9" w:rsidP="00B01CB9">
      <w:pPr>
        <w:spacing w:before="0" w:after="0"/>
        <w:ind w:left="284"/>
        <w:rPr>
          <w:szCs w:val="20"/>
        </w:rPr>
      </w:pPr>
      <w:r w:rsidRPr="00DB2C50">
        <w:rPr>
          <w:b/>
          <w:szCs w:val="20"/>
        </w:rPr>
        <w:t>Manufacturer’s name</w:t>
      </w:r>
      <w:r w:rsidRPr="004D5C7C">
        <w:rPr>
          <w:szCs w:val="20"/>
        </w:rPr>
        <w:t>:</w:t>
      </w:r>
      <w:r>
        <w:rPr>
          <w:szCs w:val="20"/>
        </w:rPr>
        <w:t xml:space="preserve"> </w:t>
      </w:r>
      <w:r w:rsidRPr="004D5C7C">
        <w:rPr>
          <w:szCs w:val="20"/>
        </w:rPr>
        <w:t xml:space="preserve"> </w:t>
      </w:r>
      <w:r w:rsidRPr="00E1469E">
        <w:rPr>
          <w:szCs w:val="20"/>
        </w:rPr>
        <w:t>IEM GmbH Industrielle Entwicklung Medizintechnik und Vertriebsgesellschaft mbH</w:t>
      </w:r>
    </w:p>
    <w:p w:rsidR="00B01CB9" w:rsidRDefault="00B01CB9" w:rsidP="00B01CB9">
      <w:pPr>
        <w:spacing w:before="0" w:after="0"/>
        <w:ind w:left="284"/>
        <w:rPr>
          <w:color w:val="333333"/>
          <w:szCs w:val="21"/>
          <w:shd w:val="clear" w:color="auto" w:fill="FFFFFF"/>
        </w:rPr>
      </w:pPr>
      <w:r w:rsidRPr="00DB2C50">
        <w:rPr>
          <w:b/>
          <w:szCs w:val="20"/>
        </w:rPr>
        <w:t>Sponsor’s name</w:t>
      </w:r>
      <w:r w:rsidRPr="004D5C7C">
        <w:rPr>
          <w:szCs w:val="20"/>
        </w:rPr>
        <w:t>:</w:t>
      </w:r>
      <w:r w:rsidRPr="00083625">
        <w:rPr>
          <w:color w:val="333333"/>
          <w:szCs w:val="21"/>
          <w:shd w:val="clear" w:color="auto" w:fill="FFFFFF"/>
        </w:rPr>
        <w:t xml:space="preserve"> </w:t>
      </w:r>
      <w:r>
        <w:rPr>
          <w:color w:val="333333"/>
          <w:szCs w:val="21"/>
          <w:shd w:val="clear" w:color="auto" w:fill="FFFFFF"/>
        </w:rPr>
        <w:t>Cardioscan Services Pty Ltd</w:t>
      </w:r>
    </w:p>
    <w:p w:rsidR="00B01CB9" w:rsidRDefault="00B01CB9" w:rsidP="00B01CB9">
      <w:pPr>
        <w:spacing w:before="0" w:after="0"/>
        <w:ind w:left="284"/>
        <w:rPr>
          <w:sz w:val="18"/>
          <w:szCs w:val="20"/>
        </w:rPr>
      </w:pPr>
    </w:p>
    <w:p w:rsidR="00B01CB9" w:rsidRDefault="00B01CB9" w:rsidP="00B01CB9">
      <w:pPr>
        <w:spacing w:before="0" w:after="0"/>
        <w:ind w:left="284"/>
        <w:rPr>
          <w:b/>
          <w:szCs w:val="20"/>
        </w:rPr>
      </w:pPr>
      <w:r w:rsidRPr="00DB2C50">
        <w:rPr>
          <w:b/>
          <w:szCs w:val="20"/>
        </w:rPr>
        <w:t>Type of therapeutic good:</w:t>
      </w:r>
      <w:r w:rsidRPr="00083625">
        <w:rPr>
          <w:rFonts w:ascii="Verdana" w:hAnsi="Verdana"/>
          <w:color w:val="333333"/>
          <w:sz w:val="21"/>
          <w:szCs w:val="21"/>
          <w:shd w:val="clear" w:color="auto" w:fill="FFFFFF"/>
        </w:rPr>
        <w:t xml:space="preserve"> </w:t>
      </w:r>
      <w:r w:rsidRPr="00033D46">
        <w:rPr>
          <w:szCs w:val="20"/>
        </w:rPr>
        <w:t>Patient monitor, blood pressure, noninvasive</w:t>
      </w:r>
    </w:p>
    <w:p w:rsidR="00B01CB9" w:rsidRDefault="00B01CB9" w:rsidP="00B01CB9">
      <w:pPr>
        <w:spacing w:before="0" w:after="0"/>
        <w:ind w:left="284"/>
        <w:rPr>
          <w:szCs w:val="20"/>
        </w:rPr>
      </w:pPr>
      <w:r w:rsidRPr="00DB2C50">
        <w:rPr>
          <w:b/>
          <w:szCs w:val="20"/>
        </w:rPr>
        <w:t>Manufacturer’s name</w:t>
      </w:r>
      <w:r w:rsidRPr="004D5C7C">
        <w:rPr>
          <w:szCs w:val="20"/>
        </w:rPr>
        <w:t>:</w:t>
      </w:r>
      <w:r>
        <w:rPr>
          <w:szCs w:val="20"/>
        </w:rPr>
        <w:t xml:space="preserve"> </w:t>
      </w:r>
      <w:r w:rsidRPr="004D5C7C">
        <w:rPr>
          <w:szCs w:val="20"/>
        </w:rPr>
        <w:t xml:space="preserve"> </w:t>
      </w:r>
      <w:r w:rsidRPr="00033D46">
        <w:rPr>
          <w:szCs w:val="20"/>
        </w:rPr>
        <w:t>GE Medical Systems Information Technologies</w:t>
      </w:r>
    </w:p>
    <w:p w:rsidR="00B01CB9" w:rsidRPr="00083625" w:rsidRDefault="00B01CB9" w:rsidP="00B01CB9">
      <w:pPr>
        <w:spacing w:before="0" w:after="0"/>
        <w:ind w:left="284"/>
        <w:rPr>
          <w:sz w:val="18"/>
          <w:szCs w:val="20"/>
        </w:rPr>
      </w:pPr>
      <w:r w:rsidRPr="00DB2C50">
        <w:rPr>
          <w:b/>
          <w:szCs w:val="20"/>
        </w:rPr>
        <w:t>Sponsor’s name</w:t>
      </w:r>
      <w:r w:rsidRPr="004D5C7C">
        <w:rPr>
          <w:szCs w:val="20"/>
        </w:rPr>
        <w:t>:</w:t>
      </w:r>
      <w:r w:rsidRPr="00083625">
        <w:rPr>
          <w:color w:val="333333"/>
          <w:szCs w:val="21"/>
          <w:shd w:val="clear" w:color="auto" w:fill="FFFFFF"/>
        </w:rPr>
        <w:t xml:space="preserve"> </w:t>
      </w:r>
      <w:r w:rsidRPr="00033D46">
        <w:rPr>
          <w:color w:val="333333"/>
          <w:szCs w:val="21"/>
          <w:shd w:val="clear" w:color="auto" w:fill="FFFFFF"/>
        </w:rPr>
        <w:t>GE Healthcare Australia Pty Ltd</w:t>
      </w:r>
    </w:p>
    <w:p w:rsidR="00B01CB9" w:rsidRPr="00083625" w:rsidRDefault="00B01CB9" w:rsidP="00B01CB9">
      <w:pPr>
        <w:spacing w:before="0" w:after="0"/>
        <w:ind w:left="284"/>
        <w:rPr>
          <w:sz w:val="18"/>
          <w:szCs w:val="20"/>
        </w:rPr>
      </w:pPr>
    </w:p>
    <w:p w:rsidR="00B01CB9" w:rsidRDefault="00B01CB9" w:rsidP="00B01CB9">
      <w:pPr>
        <w:spacing w:before="0" w:after="0"/>
        <w:ind w:left="284"/>
        <w:rPr>
          <w:b/>
          <w:szCs w:val="20"/>
        </w:rPr>
      </w:pPr>
      <w:r w:rsidRPr="00DB2C50">
        <w:rPr>
          <w:b/>
          <w:szCs w:val="20"/>
        </w:rPr>
        <w:t>Type of therapeutic good:</w:t>
      </w:r>
      <w:r w:rsidRPr="00083625">
        <w:rPr>
          <w:rFonts w:ascii="Verdana" w:hAnsi="Verdana"/>
          <w:color w:val="333333"/>
          <w:sz w:val="21"/>
          <w:szCs w:val="21"/>
          <w:shd w:val="clear" w:color="auto" w:fill="FFFFFF"/>
        </w:rPr>
        <w:t xml:space="preserve"> </w:t>
      </w:r>
      <w:r w:rsidRPr="00442DEF">
        <w:rPr>
          <w:szCs w:val="20"/>
        </w:rPr>
        <w:t>Patient data recorder, long-term, sphygmomanometer</w:t>
      </w:r>
    </w:p>
    <w:p w:rsidR="00B01CB9" w:rsidRDefault="00B01CB9" w:rsidP="00B01CB9">
      <w:pPr>
        <w:spacing w:before="0" w:after="0"/>
        <w:ind w:left="284"/>
        <w:rPr>
          <w:szCs w:val="20"/>
        </w:rPr>
      </w:pPr>
      <w:r w:rsidRPr="00DB2C50">
        <w:rPr>
          <w:b/>
          <w:szCs w:val="20"/>
        </w:rPr>
        <w:t>Manufacturer’s name</w:t>
      </w:r>
      <w:r w:rsidRPr="004D5C7C">
        <w:rPr>
          <w:szCs w:val="20"/>
        </w:rPr>
        <w:t>:</w:t>
      </w:r>
      <w:r>
        <w:rPr>
          <w:szCs w:val="20"/>
        </w:rPr>
        <w:t xml:space="preserve"> </w:t>
      </w:r>
      <w:r w:rsidRPr="004D5C7C">
        <w:rPr>
          <w:szCs w:val="20"/>
        </w:rPr>
        <w:t xml:space="preserve"> </w:t>
      </w:r>
      <w:r w:rsidRPr="00442DEF">
        <w:rPr>
          <w:szCs w:val="20"/>
        </w:rPr>
        <w:t>Meditech KFT</w:t>
      </w:r>
    </w:p>
    <w:p w:rsidR="00B01CB9" w:rsidRPr="004D5C7C" w:rsidRDefault="00B01CB9" w:rsidP="00B01CB9">
      <w:pPr>
        <w:spacing w:before="0" w:after="0"/>
        <w:ind w:left="284"/>
        <w:rPr>
          <w:szCs w:val="20"/>
        </w:rPr>
      </w:pPr>
      <w:r w:rsidRPr="00DB2C50">
        <w:rPr>
          <w:b/>
          <w:szCs w:val="20"/>
        </w:rPr>
        <w:t>Sponsor’s name</w:t>
      </w:r>
      <w:r w:rsidRPr="004D5C7C">
        <w:rPr>
          <w:szCs w:val="20"/>
        </w:rPr>
        <w:t>:</w:t>
      </w:r>
      <w:r w:rsidRPr="00083625">
        <w:rPr>
          <w:color w:val="333333"/>
          <w:szCs w:val="21"/>
          <w:shd w:val="clear" w:color="auto" w:fill="FFFFFF"/>
        </w:rPr>
        <w:t xml:space="preserve"> </w:t>
      </w:r>
      <w:r w:rsidRPr="00442DEF">
        <w:rPr>
          <w:color w:val="333333"/>
          <w:szCs w:val="21"/>
          <w:shd w:val="clear" w:color="auto" w:fill="FFFFFF"/>
        </w:rPr>
        <w:t xml:space="preserve">InMed Healthcare Pty Ltd </w:t>
      </w:r>
      <w:r w:rsidRPr="00033D46">
        <w:rPr>
          <w:color w:val="333333"/>
          <w:szCs w:val="21"/>
          <w:shd w:val="clear" w:color="auto" w:fill="FFFFFF"/>
        </w:rPr>
        <w:t>Pty Ltd</w:t>
      </w:r>
    </w:p>
    <w:p w:rsidR="00B01CB9" w:rsidRPr="004D5C7C" w:rsidRDefault="00B01CB9" w:rsidP="00B01CB9">
      <w:pPr>
        <w:spacing w:before="0" w:after="0"/>
        <w:ind w:left="284"/>
        <w:rPr>
          <w:szCs w:val="20"/>
        </w:rPr>
      </w:pPr>
    </w:p>
    <w:p w:rsidR="005E2CE3" w:rsidRPr="00154B00" w:rsidRDefault="005E2CE3" w:rsidP="0011369B">
      <w:pPr>
        <w:pStyle w:val="Heading2"/>
        <w:numPr>
          <w:ilvl w:val="0"/>
          <w:numId w:val="27"/>
        </w:numPr>
      </w:pPr>
      <w:r>
        <w:lastRenderedPageBreak/>
        <w:t xml:space="preserve">Is the </w:t>
      </w:r>
      <w:r w:rsidRPr="0043654D">
        <w:t>medical</w:t>
      </w:r>
      <w:r>
        <w:t xml:space="preserve"> device classified by the TGA as either a Class III or Active Implantable Medical Device (AIMD) against the TGA regulatory scheme for devices?</w:t>
      </w:r>
    </w:p>
    <w:p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D4A3B">
        <w:rPr>
          <w:szCs w:val="20"/>
        </w:rPr>
      </w:r>
      <w:r w:rsidR="00DD4A3B">
        <w:rPr>
          <w:szCs w:val="20"/>
        </w:rPr>
        <w:fldChar w:fldCharType="separate"/>
      </w:r>
      <w:r w:rsidRPr="000A5B32">
        <w:rPr>
          <w:szCs w:val="20"/>
        </w:rPr>
        <w:fldChar w:fldCharType="end"/>
      </w:r>
      <w:r w:rsidRPr="000A5B32">
        <w:rPr>
          <w:szCs w:val="20"/>
        </w:rPr>
        <w:t xml:space="preserve"> </w:t>
      </w:r>
      <w:r w:rsidRPr="00615F42">
        <w:rPr>
          <w:szCs w:val="20"/>
        </w:rPr>
        <w:t>Class III</w:t>
      </w:r>
    </w:p>
    <w:p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D4A3B">
        <w:rPr>
          <w:szCs w:val="20"/>
        </w:rPr>
      </w:r>
      <w:r w:rsidR="00DD4A3B">
        <w:rPr>
          <w:szCs w:val="20"/>
        </w:rPr>
        <w:fldChar w:fldCharType="separate"/>
      </w:r>
      <w:r w:rsidRPr="000A5B32">
        <w:rPr>
          <w:szCs w:val="20"/>
        </w:rPr>
        <w:fldChar w:fldCharType="end"/>
      </w:r>
      <w:r w:rsidRPr="000A5B32">
        <w:rPr>
          <w:szCs w:val="20"/>
        </w:rPr>
        <w:t xml:space="preserve"> </w:t>
      </w:r>
      <w:r w:rsidRPr="00615F42">
        <w:rPr>
          <w:szCs w:val="20"/>
        </w:rPr>
        <w:t>AIMD</w:t>
      </w:r>
    </w:p>
    <w:p w:rsidR="005E2CE3" w:rsidRPr="00154B00" w:rsidRDefault="008E0C46"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D4A3B">
        <w:rPr>
          <w:szCs w:val="20"/>
        </w:rPr>
      </w:r>
      <w:r w:rsidR="00DD4A3B">
        <w:rPr>
          <w:szCs w:val="20"/>
        </w:rPr>
        <w:fldChar w:fldCharType="separate"/>
      </w:r>
      <w:r>
        <w:rPr>
          <w:szCs w:val="20"/>
        </w:rPr>
        <w:fldChar w:fldCharType="end"/>
      </w:r>
      <w:r w:rsidR="00615F42" w:rsidRPr="000A5B32">
        <w:rPr>
          <w:szCs w:val="20"/>
        </w:rPr>
        <w:t xml:space="preserve"> </w:t>
      </w:r>
      <w:r w:rsidR="00615F42" w:rsidRPr="00615F42">
        <w:rPr>
          <w:szCs w:val="20"/>
        </w:rPr>
        <w:t>N/A</w:t>
      </w:r>
    </w:p>
    <w:p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D4A3B">
        <w:rPr>
          <w:szCs w:val="20"/>
        </w:rPr>
      </w:r>
      <w:r w:rsidR="00DD4A3B">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rsidR="003421AE" w:rsidRPr="00615F42" w:rsidRDefault="008E0C46"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D4A3B">
        <w:rPr>
          <w:szCs w:val="20"/>
        </w:rPr>
      </w:r>
      <w:r w:rsidR="00DD4A3B">
        <w:rPr>
          <w:szCs w:val="20"/>
        </w:rPr>
        <w:fldChar w:fldCharType="separate"/>
      </w:r>
      <w:r>
        <w:rPr>
          <w:szCs w:val="20"/>
        </w:rPr>
        <w:fldChar w:fldCharType="end"/>
      </w:r>
      <w:r w:rsidR="00615F42">
        <w:rPr>
          <w:szCs w:val="20"/>
        </w:rPr>
        <w:t xml:space="preserve"> No</w:t>
      </w:r>
    </w:p>
    <w:p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rsidR="0043654D" w:rsidRDefault="008E0C46"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D4A3B">
        <w:rPr>
          <w:szCs w:val="20"/>
        </w:rPr>
      </w:r>
      <w:r w:rsidR="00DD4A3B">
        <w:rPr>
          <w:szCs w:val="20"/>
        </w:rPr>
        <w:fldChar w:fldCharType="separate"/>
      </w:r>
      <w:r>
        <w:rPr>
          <w:szCs w:val="20"/>
        </w:rPr>
        <w:fldChar w:fldCharType="end"/>
      </w:r>
      <w:r w:rsidR="0043654D">
        <w:rPr>
          <w:szCs w:val="20"/>
        </w:rPr>
        <w:t xml:space="preserve"> Yes (if yes, please provide details below)</w:t>
      </w:r>
    </w:p>
    <w:p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D4A3B">
        <w:rPr>
          <w:szCs w:val="20"/>
        </w:rPr>
      </w:r>
      <w:r w:rsidR="00DD4A3B">
        <w:rPr>
          <w:szCs w:val="20"/>
        </w:rPr>
        <w:fldChar w:fldCharType="separate"/>
      </w:r>
      <w:r w:rsidRPr="000A5B32">
        <w:rPr>
          <w:szCs w:val="20"/>
        </w:rPr>
        <w:fldChar w:fldCharType="end"/>
      </w:r>
      <w:r>
        <w:rPr>
          <w:szCs w:val="20"/>
        </w:rPr>
        <w:t xml:space="preserve"> No</w:t>
      </w:r>
    </w:p>
    <w:p w:rsidR="0043654D" w:rsidRPr="00615F42" w:rsidRDefault="0043654D" w:rsidP="0043654D">
      <w:pPr>
        <w:spacing w:before="0" w:after="0"/>
        <w:ind w:left="284"/>
        <w:rPr>
          <w:b/>
          <w:szCs w:val="20"/>
        </w:rPr>
      </w:pPr>
    </w:p>
    <w:p w:rsidR="0008580C" w:rsidRPr="0008580C" w:rsidRDefault="0008580C" w:rsidP="0008580C">
      <w:pPr>
        <w:spacing w:before="0" w:after="0"/>
        <w:ind w:left="284"/>
        <w:rPr>
          <w:szCs w:val="20"/>
        </w:rPr>
      </w:pPr>
      <w:r w:rsidRPr="0008580C">
        <w:rPr>
          <w:szCs w:val="20"/>
        </w:rPr>
        <w:t xml:space="preserve">ARTG listing, registration or inclusion number:  </w:t>
      </w:r>
      <w:r w:rsidRPr="0008580C">
        <w:rPr>
          <w:b/>
        </w:rPr>
        <w:t>HealthStats</w:t>
      </w:r>
      <w:r w:rsidRPr="0008580C">
        <w:t xml:space="preserve"> 221446, </w:t>
      </w:r>
      <w:r w:rsidRPr="0008580C">
        <w:rPr>
          <w:b/>
        </w:rPr>
        <w:t>Atcor</w:t>
      </w:r>
      <w:r w:rsidRPr="0008580C">
        <w:t xml:space="preserve"> 234635, </w:t>
      </w:r>
      <w:r w:rsidRPr="0008580C">
        <w:rPr>
          <w:b/>
          <w:szCs w:val="20"/>
        </w:rPr>
        <w:t>Australian Sales and Trade Services (ASTS)</w:t>
      </w:r>
      <w:r w:rsidRPr="0008580C">
        <w:rPr>
          <w:szCs w:val="20"/>
        </w:rPr>
        <w:t xml:space="preserve"> 217021, </w:t>
      </w:r>
      <w:r w:rsidRPr="0008580C">
        <w:rPr>
          <w:b/>
          <w:szCs w:val="20"/>
        </w:rPr>
        <w:t>Ecomed Pty Ltd</w:t>
      </w:r>
      <w:r w:rsidRPr="0008580C">
        <w:rPr>
          <w:szCs w:val="20"/>
        </w:rPr>
        <w:t xml:space="preserve"> 237321, </w:t>
      </w:r>
      <w:r w:rsidRPr="0008580C">
        <w:rPr>
          <w:b/>
          <w:color w:val="333333"/>
          <w:szCs w:val="21"/>
          <w:shd w:val="clear" w:color="auto" w:fill="FFFFFF"/>
        </w:rPr>
        <w:t>Cellmed Pty Ltd</w:t>
      </w:r>
      <w:r w:rsidRPr="0008580C">
        <w:rPr>
          <w:color w:val="333333"/>
          <w:szCs w:val="21"/>
          <w:shd w:val="clear" w:color="auto" w:fill="FFFFFF"/>
        </w:rPr>
        <w:t xml:space="preserve"> 310020, </w:t>
      </w:r>
      <w:r w:rsidRPr="0008580C">
        <w:rPr>
          <w:b/>
          <w:color w:val="333333"/>
          <w:szCs w:val="21"/>
          <w:shd w:val="clear" w:color="auto" w:fill="FFFFFF"/>
        </w:rPr>
        <w:t>Core Diagnostics Pty Ltd</w:t>
      </w:r>
      <w:r w:rsidRPr="0008580C">
        <w:rPr>
          <w:rFonts w:ascii="Verdana" w:hAnsi="Verdana"/>
          <w:color w:val="333333"/>
          <w:sz w:val="21"/>
          <w:szCs w:val="21"/>
          <w:shd w:val="clear" w:color="auto" w:fill="FFFFFF"/>
        </w:rPr>
        <w:t xml:space="preserve"> </w:t>
      </w:r>
      <w:r w:rsidRPr="0008580C">
        <w:rPr>
          <w:color w:val="333333"/>
          <w:szCs w:val="21"/>
          <w:shd w:val="clear" w:color="auto" w:fill="FFFFFF"/>
        </w:rPr>
        <w:t xml:space="preserve">285458, </w:t>
      </w:r>
      <w:r w:rsidRPr="0008580C">
        <w:rPr>
          <w:b/>
          <w:color w:val="333333"/>
          <w:szCs w:val="21"/>
          <w:shd w:val="clear" w:color="auto" w:fill="FFFFFF"/>
        </w:rPr>
        <w:t>A &amp; D Australasia Pty Ltd</w:t>
      </w:r>
      <w:r w:rsidRPr="0008580C">
        <w:rPr>
          <w:color w:val="333333"/>
          <w:szCs w:val="21"/>
          <w:shd w:val="clear" w:color="auto" w:fill="FFFFFF"/>
        </w:rPr>
        <w:t xml:space="preserve"> 137370, </w:t>
      </w:r>
      <w:r w:rsidRPr="0008580C">
        <w:rPr>
          <w:b/>
          <w:color w:val="333333"/>
          <w:szCs w:val="21"/>
          <w:shd w:val="clear" w:color="auto" w:fill="FFFFFF"/>
        </w:rPr>
        <w:t>Welch Allyn Australia Pty Limited</w:t>
      </w:r>
      <w:r w:rsidRPr="0008580C">
        <w:rPr>
          <w:color w:val="333333"/>
          <w:szCs w:val="21"/>
          <w:shd w:val="clear" w:color="auto" w:fill="FFFFFF"/>
        </w:rPr>
        <w:t xml:space="preserve"> 295312, </w:t>
      </w:r>
      <w:r w:rsidRPr="0008580C">
        <w:rPr>
          <w:b/>
          <w:color w:val="333333"/>
          <w:szCs w:val="21"/>
          <w:shd w:val="clear" w:color="auto" w:fill="FFFFFF"/>
        </w:rPr>
        <w:t>Cardioscan Services Pty Ltd</w:t>
      </w:r>
      <w:r w:rsidRPr="0008580C">
        <w:rPr>
          <w:color w:val="333333"/>
          <w:szCs w:val="21"/>
          <w:shd w:val="clear" w:color="auto" w:fill="FFFFFF"/>
        </w:rPr>
        <w:t xml:space="preserve"> 228227,</w:t>
      </w:r>
      <w:r w:rsidRPr="0008580C">
        <w:rPr>
          <w:rFonts w:ascii="Verdana" w:hAnsi="Verdana"/>
          <w:color w:val="333333"/>
          <w:sz w:val="21"/>
          <w:szCs w:val="21"/>
          <w:shd w:val="clear" w:color="auto" w:fill="FFFFFF"/>
        </w:rPr>
        <w:t xml:space="preserve"> </w:t>
      </w:r>
      <w:r w:rsidRPr="0008580C">
        <w:rPr>
          <w:b/>
          <w:color w:val="333333"/>
          <w:szCs w:val="21"/>
          <w:shd w:val="clear" w:color="auto" w:fill="FFFFFF"/>
        </w:rPr>
        <w:t>GE Healthcare Australia Pty Ltd</w:t>
      </w:r>
      <w:r w:rsidRPr="0008580C">
        <w:rPr>
          <w:color w:val="333333"/>
          <w:szCs w:val="21"/>
          <w:shd w:val="clear" w:color="auto" w:fill="FFFFFF"/>
        </w:rPr>
        <w:t xml:space="preserve"> 93116, </w:t>
      </w:r>
      <w:r w:rsidRPr="0008580C">
        <w:rPr>
          <w:b/>
          <w:color w:val="333333"/>
          <w:szCs w:val="21"/>
          <w:shd w:val="clear" w:color="auto" w:fill="FFFFFF"/>
        </w:rPr>
        <w:t>InMed Healthcare Pty Ltd</w:t>
      </w:r>
      <w:r w:rsidRPr="0008580C">
        <w:rPr>
          <w:color w:val="333333"/>
          <w:szCs w:val="21"/>
          <w:shd w:val="clear" w:color="auto" w:fill="FFFFFF"/>
        </w:rPr>
        <w:t xml:space="preserve"> 147014</w:t>
      </w:r>
    </w:p>
    <w:p w:rsidR="0008580C" w:rsidRPr="0008580C" w:rsidRDefault="0008580C" w:rsidP="0008580C">
      <w:pPr>
        <w:spacing w:before="0" w:after="0"/>
        <w:ind w:left="284"/>
        <w:rPr>
          <w:szCs w:val="20"/>
        </w:rPr>
      </w:pPr>
      <w:r w:rsidRPr="0008580C">
        <w:rPr>
          <w:szCs w:val="20"/>
        </w:rPr>
        <w:t xml:space="preserve">TGA approved indication(s), if applicable:  N/A </w:t>
      </w:r>
    </w:p>
    <w:p w:rsidR="0008580C" w:rsidRPr="0008580C" w:rsidRDefault="0008580C" w:rsidP="0008580C">
      <w:pPr>
        <w:spacing w:before="0" w:after="0"/>
        <w:ind w:left="284"/>
        <w:rPr>
          <w:szCs w:val="20"/>
        </w:rPr>
      </w:pPr>
      <w:r w:rsidRPr="0008580C">
        <w:rPr>
          <w:szCs w:val="20"/>
        </w:rPr>
        <w:t xml:space="preserve">TGA approved purpose(s), if applicable:  </w:t>
      </w:r>
      <w:r w:rsidRPr="0008580C">
        <w:t>N/A</w:t>
      </w:r>
    </w:p>
    <w:p w:rsidR="00F301F1" w:rsidRPr="0043654D" w:rsidRDefault="00F301F1" w:rsidP="0043654D">
      <w:pPr>
        <w:spacing w:before="0" w:after="0"/>
        <w:ind w:left="284"/>
        <w:rPr>
          <w:szCs w:val="20"/>
        </w:rPr>
      </w:pPr>
    </w:p>
    <w:p w:rsidR="00C0796F" w:rsidRPr="008E0C46" w:rsidRDefault="00C0796F" w:rsidP="00530204">
      <w:pPr>
        <w:pStyle w:val="Heading2"/>
        <w:rPr>
          <w:color w:val="A6A6A6" w:themeColor="background1" w:themeShade="A6"/>
        </w:rPr>
      </w:pPr>
      <w:r w:rsidRPr="008E0C46">
        <w:rPr>
          <w:color w:val="A6A6A6" w:themeColor="background1" w:themeShade="A6"/>
        </w:rPr>
        <w:t>If the therapeutic good has not been listed, registered or included in the ARTG, is the therapeutic good in the process of being considered for inclusion by the TGA?</w:t>
      </w:r>
    </w:p>
    <w:p w:rsidR="0047581D" w:rsidRPr="008E0C46" w:rsidRDefault="0047581D" w:rsidP="0047581D">
      <w:pPr>
        <w:spacing w:before="0" w:after="0"/>
        <w:ind w:left="284"/>
        <w:rPr>
          <w:color w:val="A6A6A6" w:themeColor="background1" w:themeShade="A6"/>
          <w:szCs w:val="20"/>
        </w:rPr>
      </w:pPr>
      <w:r w:rsidRPr="008E0C46">
        <w:rPr>
          <w:color w:val="A6A6A6" w:themeColor="background1" w:themeShade="A6"/>
          <w:szCs w:val="20"/>
        </w:rPr>
        <w:fldChar w:fldCharType="begin">
          <w:ffData>
            <w:name w:val="Check1"/>
            <w:enabled/>
            <w:calcOnExit w:val="0"/>
            <w:checkBox>
              <w:sizeAuto/>
              <w:default w:val="0"/>
            </w:checkBox>
          </w:ffData>
        </w:fldChar>
      </w:r>
      <w:r w:rsidRPr="008E0C46">
        <w:rPr>
          <w:color w:val="A6A6A6" w:themeColor="background1" w:themeShade="A6"/>
          <w:szCs w:val="20"/>
        </w:rPr>
        <w:instrText xml:space="preserve"> FORMCHECKBOX </w:instrText>
      </w:r>
      <w:r w:rsidR="00DD4A3B">
        <w:rPr>
          <w:color w:val="A6A6A6" w:themeColor="background1" w:themeShade="A6"/>
          <w:szCs w:val="20"/>
        </w:rPr>
      </w:r>
      <w:r w:rsidR="00DD4A3B">
        <w:rPr>
          <w:color w:val="A6A6A6" w:themeColor="background1" w:themeShade="A6"/>
          <w:szCs w:val="20"/>
        </w:rPr>
        <w:fldChar w:fldCharType="separate"/>
      </w:r>
      <w:r w:rsidRPr="008E0C46">
        <w:rPr>
          <w:color w:val="A6A6A6" w:themeColor="background1" w:themeShade="A6"/>
          <w:szCs w:val="20"/>
        </w:rPr>
        <w:fldChar w:fldCharType="end"/>
      </w:r>
      <w:r w:rsidRPr="008E0C46">
        <w:rPr>
          <w:color w:val="A6A6A6" w:themeColor="background1" w:themeShade="A6"/>
          <w:szCs w:val="20"/>
        </w:rPr>
        <w:t xml:space="preserve"> Yes (please provide details below)</w:t>
      </w:r>
    </w:p>
    <w:p w:rsidR="0047581D" w:rsidRPr="008E0C46" w:rsidRDefault="0047581D" w:rsidP="0047581D">
      <w:pPr>
        <w:spacing w:before="0" w:after="0"/>
        <w:ind w:left="284"/>
        <w:rPr>
          <w:color w:val="A6A6A6" w:themeColor="background1" w:themeShade="A6"/>
          <w:szCs w:val="20"/>
        </w:rPr>
      </w:pPr>
      <w:r w:rsidRPr="008E0C46">
        <w:rPr>
          <w:color w:val="A6A6A6" w:themeColor="background1" w:themeShade="A6"/>
          <w:szCs w:val="20"/>
        </w:rPr>
        <w:fldChar w:fldCharType="begin">
          <w:ffData>
            <w:name w:val="Check1"/>
            <w:enabled/>
            <w:calcOnExit w:val="0"/>
            <w:checkBox>
              <w:sizeAuto/>
              <w:default w:val="0"/>
            </w:checkBox>
          </w:ffData>
        </w:fldChar>
      </w:r>
      <w:r w:rsidRPr="008E0C46">
        <w:rPr>
          <w:color w:val="A6A6A6" w:themeColor="background1" w:themeShade="A6"/>
          <w:szCs w:val="20"/>
        </w:rPr>
        <w:instrText xml:space="preserve"> FORMCHECKBOX </w:instrText>
      </w:r>
      <w:r w:rsidR="00DD4A3B">
        <w:rPr>
          <w:color w:val="A6A6A6" w:themeColor="background1" w:themeShade="A6"/>
          <w:szCs w:val="20"/>
        </w:rPr>
      </w:r>
      <w:r w:rsidR="00DD4A3B">
        <w:rPr>
          <w:color w:val="A6A6A6" w:themeColor="background1" w:themeShade="A6"/>
          <w:szCs w:val="20"/>
        </w:rPr>
        <w:fldChar w:fldCharType="separate"/>
      </w:r>
      <w:r w:rsidRPr="008E0C46">
        <w:rPr>
          <w:color w:val="A6A6A6" w:themeColor="background1" w:themeShade="A6"/>
          <w:szCs w:val="20"/>
        </w:rPr>
        <w:fldChar w:fldCharType="end"/>
      </w:r>
      <w:r w:rsidRPr="008E0C46">
        <w:rPr>
          <w:color w:val="A6A6A6" w:themeColor="background1" w:themeShade="A6"/>
          <w:szCs w:val="20"/>
        </w:rPr>
        <w:t xml:space="preserve"> No</w:t>
      </w:r>
    </w:p>
    <w:p w:rsidR="0047581D" w:rsidRPr="008E0C46" w:rsidRDefault="0047581D" w:rsidP="0047581D">
      <w:pPr>
        <w:spacing w:before="0" w:after="0"/>
        <w:rPr>
          <w:b/>
          <w:color w:val="A6A6A6" w:themeColor="background1" w:themeShade="A6"/>
          <w:szCs w:val="20"/>
        </w:rPr>
      </w:pPr>
    </w:p>
    <w:p w:rsidR="0047581D" w:rsidRPr="008E0C46" w:rsidRDefault="0047581D" w:rsidP="0047581D">
      <w:pPr>
        <w:spacing w:before="0" w:after="0"/>
        <w:rPr>
          <w:color w:val="A6A6A6" w:themeColor="background1" w:themeShade="A6"/>
          <w:szCs w:val="20"/>
        </w:rPr>
      </w:pPr>
      <w:r w:rsidRPr="008E0C46">
        <w:rPr>
          <w:color w:val="A6A6A6" w:themeColor="background1" w:themeShade="A6"/>
          <w:szCs w:val="20"/>
        </w:rPr>
        <w:t xml:space="preserve">Date of submission to TGA:  </w:t>
      </w:r>
      <w:r w:rsidRPr="008E0C46">
        <w:rPr>
          <w:color w:val="A6A6A6" w:themeColor="background1" w:themeShade="A6"/>
        </w:rPr>
        <w:fldChar w:fldCharType="begin">
          <w:ffData>
            <w:name w:val=""/>
            <w:enabled/>
            <w:calcOnExit w:val="0"/>
            <w:textInput>
              <w:default w:val="Insert date of submission here"/>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date of submission here</w:t>
      </w:r>
      <w:r w:rsidRPr="008E0C46">
        <w:rPr>
          <w:color w:val="A6A6A6" w:themeColor="background1" w:themeShade="A6"/>
        </w:rPr>
        <w:fldChar w:fldCharType="end"/>
      </w:r>
    </w:p>
    <w:p w:rsidR="0047581D" w:rsidRPr="008E0C46" w:rsidRDefault="0047581D" w:rsidP="0047581D">
      <w:pPr>
        <w:spacing w:before="0" w:after="0"/>
        <w:rPr>
          <w:color w:val="A6A6A6" w:themeColor="background1" w:themeShade="A6"/>
          <w:szCs w:val="20"/>
        </w:rPr>
      </w:pPr>
      <w:r w:rsidRPr="008E0C46">
        <w:rPr>
          <w:color w:val="A6A6A6" w:themeColor="background1" w:themeShade="A6"/>
          <w:szCs w:val="20"/>
        </w:rPr>
        <w:t xml:space="preserve">Estimated date by which TGA approval can be expected:  </w:t>
      </w:r>
      <w:r w:rsidRPr="008E0C46">
        <w:rPr>
          <w:color w:val="A6A6A6" w:themeColor="background1" w:themeShade="A6"/>
        </w:rPr>
        <w:fldChar w:fldCharType="begin">
          <w:ffData>
            <w:name w:val=""/>
            <w:enabled/>
            <w:calcOnExit w:val="0"/>
            <w:textInput>
              <w:default w:val="Insert estimated date here"/>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estimated date here</w:t>
      </w:r>
      <w:r w:rsidRPr="008E0C46">
        <w:rPr>
          <w:color w:val="A6A6A6" w:themeColor="background1" w:themeShade="A6"/>
        </w:rPr>
        <w:fldChar w:fldCharType="end"/>
      </w:r>
    </w:p>
    <w:p w:rsidR="0047581D" w:rsidRPr="008E0C46" w:rsidRDefault="0047581D" w:rsidP="0047581D">
      <w:pPr>
        <w:spacing w:before="0" w:after="0"/>
        <w:rPr>
          <w:color w:val="A6A6A6" w:themeColor="background1" w:themeShade="A6"/>
          <w:szCs w:val="20"/>
        </w:rPr>
      </w:pPr>
      <w:r w:rsidRPr="008E0C46">
        <w:rPr>
          <w:color w:val="A6A6A6" w:themeColor="background1" w:themeShade="A6"/>
          <w:szCs w:val="20"/>
        </w:rPr>
        <w:t xml:space="preserve">TGA Application ID:  </w:t>
      </w:r>
      <w:r w:rsidRPr="008E0C46">
        <w:rPr>
          <w:color w:val="A6A6A6" w:themeColor="background1" w:themeShade="A6"/>
        </w:rPr>
        <w:fldChar w:fldCharType="begin">
          <w:ffData>
            <w:name w:val=""/>
            <w:enabled/>
            <w:calcOnExit w:val="0"/>
            <w:textInput>
              <w:default w:val="Insert TGA Application ID here"/>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TGA Application ID here</w:t>
      </w:r>
      <w:r w:rsidRPr="008E0C46">
        <w:rPr>
          <w:color w:val="A6A6A6" w:themeColor="background1" w:themeShade="A6"/>
        </w:rPr>
        <w:fldChar w:fldCharType="end"/>
      </w:r>
    </w:p>
    <w:p w:rsidR="0047581D" w:rsidRPr="008E0C46" w:rsidRDefault="0047581D" w:rsidP="0047581D">
      <w:pPr>
        <w:spacing w:before="0" w:after="0"/>
        <w:rPr>
          <w:color w:val="A6A6A6" w:themeColor="background1" w:themeShade="A6"/>
          <w:szCs w:val="20"/>
        </w:rPr>
      </w:pPr>
      <w:r w:rsidRPr="008E0C46">
        <w:rPr>
          <w:color w:val="A6A6A6" w:themeColor="background1" w:themeShade="A6"/>
          <w:szCs w:val="20"/>
        </w:rPr>
        <w:t xml:space="preserve">TGA approved indication(s), if applicable:  </w:t>
      </w:r>
      <w:r w:rsidR="00971EDB" w:rsidRPr="008E0C46">
        <w:rPr>
          <w:color w:val="A6A6A6" w:themeColor="background1" w:themeShade="A6"/>
        </w:rPr>
        <w:fldChar w:fldCharType="begin">
          <w:ffData>
            <w:name w:val=""/>
            <w:enabled/>
            <w:calcOnExit w:val="0"/>
            <w:textInput>
              <w:default w:val="If applicable, insert description of TGA approved indication(s) here"/>
            </w:textInput>
          </w:ffData>
        </w:fldChar>
      </w:r>
      <w:r w:rsidR="00971EDB" w:rsidRPr="008E0C46">
        <w:rPr>
          <w:color w:val="A6A6A6" w:themeColor="background1" w:themeShade="A6"/>
        </w:rPr>
        <w:instrText xml:space="preserve"> FORMTEXT </w:instrText>
      </w:r>
      <w:r w:rsidR="00971EDB" w:rsidRPr="008E0C46">
        <w:rPr>
          <w:color w:val="A6A6A6" w:themeColor="background1" w:themeShade="A6"/>
        </w:rPr>
      </w:r>
      <w:r w:rsidR="00971EDB" w:rsidRPr="008E0C46">
        <w:rPr>
          <w:color w:val="A6A6A6" w:themeColor="background1" w:themeShade="A6"/>
        </w:rPr>
        <w:fldChar w:fldCharType="separate"/>
      </w:r>
      <w:r w:rsidR="00971EDB" w:rsidRPr="008E0C46">
        <w:rPr>
          <w:noProof/>
          <w:color w:val="A6A6A6" w:themeColor="background1" w:themeShade="A6"/>
        </w:rPr>
        <w:t>If applicable, insert description of TGA approved indication(s) here</w:t>
      </w:r>
      <w:r w:rsidR="00971EDB" w:rsidRPr="008E0C46">
        <w:rPr>
          <w:color w:val="A6A6A6" w:themeColor="background1" w:themeShade="A6"/>
        </w:rPr>
        <w:fldChar w:fldCharType="end"/>
      </w:r>
    </w:p>
    <w:p w:rsidR="003433D1" w:rsidRPr="008E0C46" w:rsidRDefault="0047581D" w:rsidP="0047581D">
      <w:pPr>
        <w:spacing w:before="0" w:after="0"/>
        <w:rPr>
          <w:color w:val="A6A6A6" w:themeColor="background1" w:themeShade="A6"/>
          <w:szCs w:val="20"/>
        </w:rPr>
      </w:pPr>
      <w:r w:rsidRPr="008E0C46">
        <w:rPr>
          <w:color w:val="A6A6A6" w:themeColor="background1" w:themeShade="A6"/>
          <w:szCs w:val="20"/>
        </w:rPr>
        <w:t xml:space="preserve">TGA approved purpose(s), if applicable:  </w:t>
      </w:r>
      <w:r w:rsidR="00971EDB" w:rsidRPr="008E0C46">
        <w:rPr>
          <w:color w:val="A6A6A6" w:themeColor="background1" w:themeShade="A6"/>
        </w:rPr>
        <w:fldChar w:fldCharType="begin">
          <w:ffData>
            <w:name w:val=""/>
            <w:enabled/>
            <w:calcOnExit w:val="0"/>
            <w:textInput>
              <w:default w:val="If applicable, insert description of TGA approved purpose(s) here"/>
            </w:textInput>
          </w:ffData>
        </w:fldChar>
      </w:r>
      <w:r w:rsidR="00971EDB" w:rsidRPr="008E0C46">
        <w:rPr>
          <w:color w:val="A6A6A6" w:themeColor="background1" w:themeShade="A6"/>
        </w:rPr>
        <w:instrText xml:space="preserve"> FORMTEXT </w:instrText>
      </w:r>
      <w:r w:rsidR="00971EDB" w:rsidRPr="008E0C46">
        <w:rPr>
          <w:color w:val="A6A6A6" w:themeColor="background1" w:themeShade="A6"/>
        </w:rPr>
      </w:r>
      <w:r w:rsidR="00971EDB" w:rsidRPr="008E0C46">
        <w:rPr>
          <w:color w:val="A6A6A6" w:themeColor="background1" w:themeShade="A6"/>
        </w:rPr>
        <w:fldChar w:fldCharType="separate"/>
      </w:r>
      <w:r w:rsidR="00971EDB" w:rsidRPr="008E0C46">
        <w:rPr>
          <w:noProof/>
          <w:color w:val="A6A6A6" w:themeColor="background1" w:themeShade="A6"/>
        </w:rPr>
        <w:t>If applicable, insert description of TGA approved purpose(s) here</w:t>
      </w:r>
      <w:r w:rsidR="00971EDB" w:rsidRPr="008E0C46">
        <w:rPr>
          <w:color w:val="A6A6A6" w:themeColor="background1" w:themeShade="A6"/>
        </w:rPr>
        <w:fldChar w:fldCharType="end"/>
      </w:r>
    </w:p>
    <w:p w:rsidR="00C0796F" w:rsidRPr="008E0C46" w:rsidRDefault="000A110D" w:rsidP="00530204">
      <w:pPr>
        <w:pStyle w:val="Heading2"/>
        <w:rPr>
          <w:color w:val="A6A6A6" w:themeColor="background1" w:themeShade="A6"/>
        </w:rPr>
      </w:pPr>
      <w:r w:rsidRPr="008E0C46">
        <w:rPr>
          <w:color w:val="A6A6A6" w:themeColor="background1" w:themeShade="A6"/>
        </w:rPr>
        <w:t>I</w:t>
      </w:r>
      <w:r w:rsidR="00C0796F" w:rsidRPr="008E0C46">
        <w:rPr>
          <w:color w:val="A6A6A6" w:themeColor="background1" w:themeShade="A6"/>
        </w:rPr>
        <w:t xml:space="preserve">f the therapeutic good </w:t>
      </w:r>
      <w:r w:rsidR="00F83A9D" w:rsidRPr="008E0C46">
        <w:rPr>
          <w:color w:val="A6A6A6" w:themeColor="background1" w:themeShade="A6"/>
        </w:rPr>
        <w:t>is not in the process of being considered for listing</w:t>
      </w:r>
      <w:r w:rsidR="00C0796F" w:rsidRPr="008E0C46">
        <w:rPr>
          <w:color w:val="A6A6A6" w:themeColor="background1" w:themeShade="A6"/>
        </w:rPr>
        <w:t xml:space="preserve">, </w:t>
      </w:r>
      <w:r w:rsidR="00F83A9D" w:rsidRPr="008E0C46">
        <w:rPr>
          <w:color w:val="A6A6A6" w:themeColor="background1" w:themeShade="A6"/>
        </w:rPr>
        <w:t xml:space="preserve">registration </w:t>
      </w:r>
      <w:r w:rsidR="00C0796F" w:rsidRPr="008E0C46">
        <w:rPr>
          <w:color w:val="A6A6A6" w:themeColor="background1" w:themeShade="A6"/>
        </w:rPr>
        <w:t xml:space="preserve">or </w:t>
      </w:r>
      <w:r w:rsidR="00F83A9D" w:rsidRPr="008E0C46">
        <w:rPr>
          <w:color w:val="A6A6A6" w:themeColor="background1" w:themeShade="A6"/>
        </w:rPr>
        <w:t>inclusion by the TGA, is an application to the TGA being prepared?</w:t>
      </w:r>
    </w:p>
    <w:p w:rsidR="000A110D" w:rsidRPr="008E0C46" w:rsidRDefault="000A110D" w:rsidP="000A110D">
      <w:pPr>
        <w:spacing w:before="0" w:after="0"/>
        <w:ind w:left="284"/>
        <w:rPr>
          <w:color w:val="A6A6A6" w:themeColor="background1" w:themeShade="A6"/>
          <w:szCs w:val="20"/>
        </w:rPr>
      </w:pPr>
      <w:r w:rsidRPr="008E0C46">
        <w:rPr>
          <w:color w:val="A6A6A6" w:themeColor="background1" w:themeShade="A6"/>
          <w:szCs w:val="20"/>
        </w:rPr>
        <w:fldChar w:fldCharType="begin">
          <w:ffData>
            <w:name w:val="Check1"/>
            <w:enabled/>
            <w:calcOnExit w:val="0"/>
            <w:checkBox>
              <w:sizeAuto/>
              <w:default w:val="0"/>
            </w:checkBox>
          </w:ffData>
        </w:fldChar>
      </w:r>
      <w:r w:rsidRPr="008E0C46">
        <w:rPr>
          <w:color w:val="A6A6A6" w:themeColor="background1" w:themeShade="A6"/>
          <w:szCs w:val="20"/>
        </w:rPr>
        <w:instrText xml:space="preserve"> FORMCHECKBOX </w:instrText>
      </w:r>
      <w:r w:rsidR="00DD4A3B">
        <w:rPr>
          <w:color w:val="A6A6A6" w:themeColor="background1" w:themeShade="A6"/>
          <w:szCs w:val="20"/>
        </w:rPr>
      </w:r>
      <w:r w:rsidR="00DD4A3B">
        <w:rPr>
          <w:color w:val="A6A6A6" w:themeColor="background1" w:themeShade="A6"/>
          <w:szCs w:val="20"/>
        </w:rPr>
        <w:fldChar w:fldCharType="separate"/>
      </w:r>
      <w:r w:rsidRPr="008E0C46">
        <w:rPr>
          <w:color w:val="A6A6A6" w:themeColor="background1" w:themeShade="A6"/>
          <w:szCs w:val="20"/>
        </w:rPr>
        <w:fldChar w:fldCharType="end"/>
      </w:r>
      <w:r w:rsidRPr="008E0C46">
        <w:rPr>
          <w:color w:val="A6A6A6" w:themeColor="background1" w:themeShade="A6"/>
          <w:szCs w:val="20"/>
        </w:rPr>
        <w:t xml:space="preserve"> Yes (please provide details below)</w:t>
      </w:r>
    </w:p>
    <w:p w:rsidR="000A110D" w:rsidRPr="008E0C46" w:rsidRDefault="000A110D" w:rsidP="000A110D">
      <w:pPr>
        <w:spacing w:before="0" w:after="0"/>
        <w:ind w:left="284"/>
        <w:rPr>
          <w:color w:val="A6A6A6" w:themeColor="background1" w:themeShade="A6"/>
          <w:szCs w:val="20"/>
        </w:rPr>
      </w:pPr>
      <w:r w:rsidRPr="008E0C46">
        <w:rPr>
          <w:color w:val="A6A6A6" w:themeColor="background1" w:themeShade="A6"/>
          <w:szCs w:val="20"/>
        </w:rPr>
        <w:fldChar w:fldCharType="begin">
          <w:ffData>
            <w:name w:val="Check1"/>
            <w:enabled/>
            <w:calcOnExit w:val="0"/>
            <w:checkBox>
              <w:sizeAuto/>
              <w:default w:val="0"/>
            </w:checkBox>
          </w:ffData>
        </w:fldChar>
      </w:r>
      <w:r w:rsidRPr="008E0C46">
        <w:rPr>
          <w:color w:val="A6A6A6" w:themeColor="background1" w:themeShade="A6"/>
          <w:szCs w:val="20"/>
        </w:rPr>
        <w:instrText xml:space="preserve"> FORMCHECKBOX </w:instrText>
      </w:r>
      <w:r w:rsidR="00DD4A3B">
        <w:rPr>
          <w:color w:val="A6A6A6" w:themeColor="background1" w:themeShade="A6"/>
          <w:szCs w:val="20"/>
        </w:rPr>
      </w:r>
      <w:r w:rsidR="00DD4A3B">
        <w:rPr>
          <w:color w:val="A6A6A6" w:themeColor="background1" w:themeShade="A6"/>
          <w:szCs w:val="20"/>
        </w:rPr>
        <w:fldChar w:fldCharType="separate"/>
      </w:r>
      <w:r w:rsidRPr="008E0C46">
        <w:rPr>
          <w:color w:val="A6A6A6" w:themeColor="background1" w:themeShade="A6"/>
          <w:szCs w:val="20"/>
        </w:rPr>
        <w:fldChar w:fldCharType="end"/>
      </w:r>
      <w:r w:rsidRPr="008E0C46">
        <w:rPr>
          <w:color w:val="A6A6A6" w:themeColor="background1" w:themeShade="A6"/>
          <w:szCs w:val="20"/>
        </w:rPr>
        <w:t xml:space="preserve"> No</w:t>
      </w:r>
    </w:p>
    <w:p w:rsidR="000A110D" w:rsidRPr="008E0C46" w:rsidRDefault="000A110D" w:rsidP="00971EDB">
      <w:pPr>
        <w:spacing w:before="0" w:after="0"/>
        <w:rPr>
          <w:color w:val="A6A6A6" w:themeColor="background1" w:themeShade="A6"/>
          <w:szCs w:val="20"/>
        </w:rPr>
      </w:pPr>
    </w:p>
    <w:p w:rsidR="00971EDB" w:rsidRPr="008E0C46" w:rsidRDefault="00971EDB" w:rsidP="00971EDB">
      <w:pPr>
        <w:spacing w:before="0" w:after="0"/>
        <w:rPr>
          <w:color w:val="A6A6A6" w:themeColor="background1" w:themeShade="A6"/>
          <w:szCs w:val="20"/>
        </w:rPr>
      </w:pPr>
      <w:r w:rsidRPr="008E0C46">
        <w:rPr>
          <w:color w:val="A6A6A6" w:themeColor="background1" w:themeShade="A6"/>
          <w:szCs w:val="20"/>
        </w:rPr>
        <w:t xml:space="preserve">Estimated date of submission to TGA:  </w:t>
      </w:r>
      <w:r w:rsidRPr="008E0C46">
        <w:rPr>
          <w:color w:val="A6A6A6" w:themeColor="background1" w:themeShade="A6"/>
        </w:rPr>
        <w:fldChar w:fldCharType="begin">
          <w:ffData>
            <w:name w:val=""/>
            <w:enabled/>
            <w:calcOnExit w:val="0"/>
            <w:textInput>
              <w:default w:val="Insert date of submission here"/>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date of submission here</w:t>
      </w:r>
      <w:r w:rsidRPr="008E0C46">
        <w:rPr>
          <w:color w:val="A6A6A6" w:themeColor="background1" w:themeShade="A6"/>
        </w:rPr>
        <w:fldChar w:fldCharType="end"/>
      </w:r>
    </w:p>
    <w:p w:rsidR="00971EDB" w:rsidRPr="008E0C46" w:rsidRDefault="00971EDB" w:rsidP="00971EDB">
      <w:pPr>
        <w:spacing w:before="0" w:after="0"/>
        <w:rPr>
          <w:color w:val="A6A6A6" w:themeColor="background1" w:themeShade="A6"/>
          <w:szCs w:val="20"/>
        </w:rPr>
      </w:pPr>
      <w:r w:rsidRPr="008E0C46">
        <w:rPr>
          <w:color w:val="A6A6A6" w:themeColor="background1" w:themeShade="A6"/>
          <w:szCs w:val="20"/>
        </w:rPr>
        <w:t xml:space="preserve">Proposed indication(s), if applicable:  </w:t>
      </w:r>
      <w:r w:rsidRPr="008E0C46">
        <w:rPr>
          <w:color w:val="A6A6A6" w:themeColor="background1" w:themeShade="A6"/>
        </w:rPr>
        <w:fldChar w:fldCharType="begin">
          <w:ffData>
            <w:name w:val=""/>
            <w:enabled/>
            <w:calcOnExit w:val="0"/>
            <w:textInput>
              <w:default w:val="If applicable, insert description of proposed indication(s)"/>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If applicable, insert description of proposed indication(s)</w:t>
      </w:r>
      <w:r w:rsidRPr="008E0C46">
        <w:rPr>
          <w:color w:val="A6A6A6" w:themeColor="background1" w:themeShade="A6"/>
        </w:rPr>
        <w:fldChar w:fldCharType="end"/>
      </w:r>
    </w:p>
    <w:p w:rsidR="00971EDB" w:rsidRPr="008E0C46" w:rsidRDefault="00971EDB" w:rsidP="00971EDB">
      <w:pPr>
        <w:spacing w:before="0" w:after="0"/>
        <w:rPr>
          <w:color w:val="A6A6A6" w:themeColor="background1" w:themeShade="A6"/>
          <w:szCs w:val="20"/>
        </w:rPr>
      </w:pPr>
      <w:r w:rsidRPr="008E0C46">
        <w:rPr>
          <w:color w:val="A6A6A6" w:themeColor="background1" w:themeShade="A6"/>
          <w:szCs w:val="20"/>
        </w:rPr>
        <w:t xml:space="preserve">Proposed purpose(s), if applicable:  </w:t>
      </w:r>
      <w:r w:rsidRPr="008E0C46">
        <w:rPr>
          <w:color w:val="A6A6A6" w:themeColor="background1" w:themeShade="A6"/>
        </w:rPr>
        <w:fldChar w:fldCharType="begin">
          <w:ffData>
            <w:name w:val=""/>
            <w:enabled/>
            <w:calcOnExit w:val="0"/>
            <w:textInput>
              <w:default w:val="If applicable, insert description of proposed purpose(s) here"/>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If applicable, insert description of proposed purpose(s) here</w:t>
      </w:r>
      <w:r w:rsidRPr="008E0C46">
        <w:rPr>
          <w:color w:val="A6A6A6" w:themeColor="background1" w:themeShade="A6"/>
        </w:rPr>
        <w:fldChar w:fldCharType="end"/>
      </w:r>
    </w:p>
    <w:p w:rsidR="00F83A9D" w:rsidRPr="00154B00" w:rsidRDefault="00F83A9D" w:rsidP="00F83A9D">
      <w:pPr>
        <w:rPr>
          <w:szCs w:val="20"/>
        </w:rPr>
      </w:pPr>
    </w:p>
    <w:p w:rsidR="00DD308E" w:rsidRDefault="00DD308E">
      <w:pPr>
        <w:rPr>
          <w:b/>
          <w:sz w:val="32"/>
          <w:szCs w:val="32"/>
        </w:rPr>
        <w:sectPr w:rsidR="00DD308E" w:rsidSect="00991EE4">
          <w:footerReference w:type="default" r:id="rId9"/>
          <w:pgSz w:w="11906" w:h="16838"/>
          <w:pgMar w:top="1440" w:right="1440" w:bottom="1440" w:left="1440" w:header="708" w:footer="708" w:gutter="0"/>
          <w:pgNumType w:start="0"/>
          <w:cols w:space="708"/>
          <w:titlePg/>
          <w:docGrid w:linePitch="360"/>
        </w:sectPr>
      </w:pPr>
    </w:p>
    <w:p w:rsidR="00DD308E" w:rsidRPr="00C776B1" w:rsidRDefault="00B17CBE" w:rsidP="00F222BE">
      <w:pPr>
        <w:pStyle w:val="Heading1"/>
      </w:pPr>
      <w:r>
        <w:lastRenderedPageBreak/>
        <w:t>PART 4</w:t>
      </w:r>
      <w:r w:rsidR="00DD308E">
        <w:t xml:space="preserve"> – SUMMARY</w:t>
      </w:r>
      <w:r w:rsidR="00DD308E" w:rsidRPr="00C776B1">
        <w:t xml:space="preserve"> OF EVIDENCE</w:t>
      </w:r>
    </w:p>
    <w:p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00" w:type="pct"/>
        <w:tblLayout w:type="fixed"/>
        <w:tblLook w:val="04A0" w:firstRow="1" w:lastRow="0" w:firstColumn="1" w:lastColumn="0" w:noHBand="0" w:noVBand="1"/>
        <w:tblCaption w:val="Summary of Evidence - Published"/>
      </w:tblPr>
      <w:tblGrid>
        <w:gridCol w:w="647"/>
        <w:gridCol w:w="2142"/>
        <w:gridCol w:w="2748"/>
        <w:gridCol w:w="3389"/>
        <w:gridCol w:w="2695"/>
        <w:gridCol w:w="2327"/>
      </w:tblGrid>
      <w:tr w:rsidR="0008580C" w:rsidTr="001C58CC">
        <w:trPr>
          <w:cantSplit/>
          <w:tblHeader/>
        </w:trPr>
        <w:tc>
          <w:tcPr>
            <w:tcW w:w="232" w:type="pct"/>
          </w:tcPr>
          <w:p w:rsidR="0008580C" w:rsidRDefault="0008580C" w:rsidP="00ED0B76">
            <w:pPr>
              <w:pStyle w:val="TableHEADER"/>
            </w:pPr>
          </w:p>
        </w:tc>
        <w:tc>
          <w:tcPr>
            <w:tcW w:w="768" w:type="pct"/>
          </w:tcPr>
          <w:p w:rsidR="0008580C" w:rsidRDefault="0008580C" w:rsidP="00ED0B76">
            <w:pPr>
              <w:pStyle w:val="TableHEADER"/>
            </w:pPr>
            <w:r>
              <w:t>Type of study design*</w:t>
            </w:r>
          </w:p>
        </w:tc>
        <w:tc>
          <w:tcPr>
            <w:tcW w:w="985" w:type="pct"/>
          </w:tcPr>
          <w:p w:rsidR="0008580C" w:rsidRDefault="0008580C" w:rsidP="00ED0B76">
            <w:pPr>
              <w:pStyle w:val="TableHEADER"/>
            </w:pPr>
            <w:r>
              <w:t>Title of journal article  or research project (including any trial identifier or study lead if relevant)</w:t>
            </w:r>
          </w:p>
        </w:tc>
        <w:tc>
          <w:tcPr>
            <w:tcW w:w="1215" w:type="pct"/>
          </w:tcPr>
          <w:p w:rsidR="0008580C" w:rsidRDefault="0008580C" w:rsidP="00ED0B76">
            <w:pPr>
              <w:pStyle w:val="TableHEADER"/>
            </w:pPr>
            <w:r>
              <w:t>Short description of research  (max 50 words)**</w:t>
            </w:r>
          </w:p>
        </w:tc>
        <w:tc>
          <w:tcPr>
            <w:tcW w:w="966" w:type="pct"/>
          </w:tcPr>
          <w:p w:rsidR="0008580C" w:rsidRDefault="0008580C" w:rsidP="00ED0B76">
            <w:pPr>
              <w:pStyle w:val="TableHEADER"/>
            </w:pPr>
            <w:r w:rsidRPr="00E82F54">
              <w:t xml:space="preserve">Website link to </w:t>
            </w:r>
            <w:r>
              <w:t>journal article or research (if available)</w:t>
            </w:r>
          </w:p>
        </w:tc>
        <w:tc>
          <w:tcPr>
            <w:tcW w:w="834" w:type="pct"/>
          </w:tcPr>
          <w:p w:rsidR="0008580C" w:rsidRDefault="0008580C" w:rsidP="00ED0B76">
            <w:pPr>
              <w:pStyle w:val="TableHEADER"/>
            </w:pPr>
            <w:r w:rsidRPr="00E82F54">
              <w:t>Date</w:t>
            </w:r>
            <w:r>
              <w:t xml:space="preserve"> of publication</w:t>
            </w:r>
            <w:r w:rsidRPr="00E82F54">
              <w:t>*</w:t>
            </w:r>
            <w:r>
              <w:t>**</w:t>
            </w:r>
          </w:p>
        </w:tc>
      </w:tr>
      <w:tr w:rsidR="001C58CC" w:rsidTr="001C58CC">
        <w:trPr>
          <w:cantSplit/>
        </w:trPr>
        <w:tc>
          <w:tcPr>
            <w:tcW w:w="232" w:type="pct"/>
          </w:tcPr>
          <w:p w:rsidR="001C58CC" w:rsidRPr="00965B6B" w:rsidRDefault="001C58CC" w:rsidP="00ED0B76">
            <w:pPr>
              <w:rPr>
                <w:szCs w:val="20"/>
              </w:rPr>
            </w:pPr>
          </w:p>
        </w:tc>
        <w:tc>
          <w:tcPr>
            <w:tcW w:w="768" w:type="pct"/>
          </w:tcPr>
          <w:p w:rsidR="001C58CC" w:rsidRDefault="001C58CC" w:rsidP="00ED0B76">
            <w:pPr>
              <w:rPr>
                <w:b/>
                <w:szCs w:val="20"/>
              </w:rPr>
            </w:pPr>
            <w:r w:rsidRPr="00956AC9">
              <w:rPr>
                <w:b/>
              </w:rPr>
              <w:t>ABPM vs. Clinic BP measurement.</w:t>
            </w:r>
          </w:p>
        </w:tc>
        <w:tc>
          <w:tcPr>
            <w:tcW w:w="985" w:type="pct"/>
          </w:tcPr>
          <w:p w:rsidR="001C58CC" w:rsidRDefault="001C58CC" w:rsidP="00ED0B76"/>
        </w:tc>
        <w:tc>
          <w:tcPr>
            <w:tcW w:w="1215" w:type="pct"/>
          </w:tcPr>
          <w:p w:rsidR="001C58CC" w:rsidRDefault="001C58CC" w:rsidP="00ED0B76"/>
        </w:tc>
        <w:tc>
          <w:tcPr>
            <w:tcW w:w="966" w:type="pct"/>
          </w:tcPr>
          <w:p w:rsidR="001C58CC" w:rsidRDefault="001C58CC" w:rsidP="00ED0B76"/>
        </w:tc>
        <w:tc>
          <w:tcPr>
            <w:tcW w:w="834" w:type="pct"/>
          </w:tcPr>
          <w:p w:rsidR="001C58CC" w:rsidRDefault="001C58CC" w:rsidP="00ED0B76"/>
        </w:tc>
      </w:tr>
      <w:tr w:rsidR="00D0646E" w:rsidTr="001C58CC">
        <w:trPr>
          <w:cantSplit/>
        </w:trPr>
        <w:tc>
          <w:tcPr>
            <w:tcW w:w="232" w:type="pct"/>
          </w:tcPr>
          <w:p w:rsidR="00D0646E" w:rsidRDefault="00D0646E" w:rsidP="00ED0B76">
            <w:pPr>
              <w:rPr>
                <w:szCs w:val="20"/>
              </w:rPr>
            </w:pPr>
            <w:r>
              <w:rPr>
                <w:szCs w:val="20"/>
              </w:rPr>
              <w:t>1.</w:t>
            </w:r>
          </w:p>
        </w:tc>
        <w:tc>
          <w:tcPr>
            <w:tcW w:w="768" w:type="pct"/>
          </w:tcPr>
          <w:p w:rsidR="00D0646E" w:rsidRDefault="00D0646E" w:rsidP="00ED0B76">
            <w:pPr>
              <w:rPr>
                <w:szCs w:val="20"/>
              </w:rPr>
            </w:pPr>
          </w:p>
        </w:tc>
        <w:tc>
          <w:tcPr>
            <w:tcW w:w="985" w:type="pct"/>
          </w:tcPr>
          <w:p w:rsidR="00D0646E" w:rsidRPr="006D4EA2" w:rsidRDefault="00D0646E" w:rsidP="00ED0B76">
            <w:pPr>
              <w:rPr>
                <w:szCs w:val="20"/>
              </w:rPr>
            </w:pPr>
            <w:r w:rsidRPr="00D0646E">
              <w:rPr>
                <w:szCs w:val="20"/>
              </w:rPr>
              <w:t xml:space="preserve">Banegas </w:t>
            </w:r>
            <w:r>
              <w:rPr>
                <w:szCs w:val="20"/>
              </w:rPr>
              <w:t xml:space="preserve">et al. </w:t>
            </w:r>
            <w:r w:rsidRPr="00D0646E">
              <w:rPr>
                <w:b/>
                <w:szCs w:val="20"/>
              </w:rPr>
              <w:t>Relationship between Clinic and Ambulatory Blood-Pressure Measurements and Mortality.</w:t>
            </w:r>
            <w:r>
              <w:rPr>
                <w:szCs w:val="20"/>
              </w:rPr>
              <w:t xml:space="preserve"> </w:t>
            </w:r>
            <w:r w:rsidRPr="00D0646E">
              <w:rPr>
                <w:szCs w:val="20"/>
              </w:rPr>
              <w:t>N Engl J Med. 2018 Apr 19;378(16):1509-1520.</w:t>
            </w:r>
          </w:p>
        </w:tc>
        <w:tc>
          <w:tcPr>
            <w:tcW w:w="1215" w:type="pct"/>
          </w:tcPr>
          <w:p w:rsidR="0014031E" w:rsidRDefault="00D0646E" w:rsidP="0014031E">
            <w:pPr>
              <w:ind w:left="-88"/>
              <w:rPr>
                <w:szCs w:val="20"/>
              </w:rPr>
            </w:pPr>
            <w:r w:rsidRPr="00D0646E">
              <w:rPr>
                <w:szCs w:val="20"/>
              </w:rPr>
              <w:t xml:space="preserve">Ambulatory blood-pressure measurements were a stronger predictor of all-cause and cardiovascular mortality than clinic blood-pressure measurements. </w:t>
            </w:r>
          </w:p>
        </w:tc>
        <w:tc>
          <w:tcPr>
            <w:tcW w:w="966" w:type="pct"/>
          </w:tcPr>
          <w:p w:rsidR="00D0646E" w:rsidRDefault="00DD4A3B" w:rsidP="00ED0B76">
            <w:hyperlink r:id="rId10" w:tooltip="Link to US National Library of Medicine " w:history="1">
              <w:r w:rsidR="00D0646E" w:rsidRPr="00426AC5">
                <w:rPr>
                  <w:rStyle w:val="Hyperlink"/>
                </w:rPr>
                <w:t>https://www.ncbi.nlm.nih.gov/pubmed/29669232</w:t>
              </w:r>
            </w:hyperlink>
          </w:p>
          <w:p w:rsidR="00D0646E" w:rsidRDefault="00D0646E" w:rsidP="00ED0B76"/>
        </w:tc>
        <w:tc>
          <w:tcPr>
            <w:tcW w:w="834" w:type="pct"/>
          </w:tcPr>
          <w:p w:rsidR="00D0646E" w:rsidRDefault="00D0646E" w:rsidP="00ED0B76">
            <w:pPr>
              <w:rPr>
                <w:szCs w:val="20"/>
              </w:rPr>
            </w:pPr>
            <w:r>
              <w:rPr>
                <w:szCs w:val="20"/>
              </w:rPr>
              <w:t>2018</w:t>
            </w:r>
          </w:p>
        </w:tc>
      </w:tr>
      <w:tr w:rsidR="001C58CC" w:rsidTr="001C58CC">
        <w:trPr>
          <w:cantSplit/>
        </w:trPr>
        <w:tc>
          <w:tcPr>
            <w:tcW w:w="232" w:type="pct"/>
          </w:tcPr>
          <w:p w:rsidR="001C58CC" w:rsidRPr="00965B6B" w:rsidRDefault="00D0646E" w:rsidP="00ED0B76">
            <w:pPr>
              <w:rPr>
                <w:szCs w:val="20"/>
              </w:rPr>
            </w:pPr>
            <w:r>
              <w:rPr>
                <w:szCs w:val="20"/>
              </w:rPr>
              <w:t>2.</w:t>
            </w:r>
          </w:p>
        </w:tc>
        <w:tc>
          <w:tcPr>
            <w:tcW w:w="768" w:type="pct"/>
          </w:tcPr>
          <w:p w:rsidR="001C58CC" w:rsidRPr="00E9144E" w:rsidRDefault="001C58CC" w:rsidP="00ED0B76">
            <w:pPr>
              <w:rPr>
                <w:szCs w:val="20"/>
              </w:rPr>
            </w:pPr>
            <w:r>
              <w:rPr>
                <w:szCs w:val="20"/>
              </w:rPr>
              <w:t>Observational</w:t>
            </w:r>
          </w:p>
        </w:tc>
        <w:tc>
          <w:tcPr>
            <w:tcW w:w="985" w:type="pct"/>
          </w:tcPr>
          <w:p w:rsidR="001C58CC" w:rsidRDefault="001C58CC" w:rsidP="00ED0B76">
            <w:pPr>
              <w:rPr>
                <w:b/>
                <w:szCs w:val="20"/>
              </w:rPr>
            </w:pPr>
            <w:r w:rsidRPr="006D4EA2">
              <w:rPr>
                <w:szCs w:val="20"/>
              </w:rPr>
              <w:t>Bjorklund K</w:t>
            </w:r>
            <w:r>
              <w:rPr>
                <w:szCs w:val="20"/>
              </w:rPr>
              <w:t xml:space="preserve"> et.al</w:t>
            </w:r>
            <w:r w:rsidRPr="006D4EA2">
              <w:rPr>
                <w:szCs w:val="20"/>
              </w:rPr>
              <w:t xml:space="preserve">. </w:t>
            </w:r>
            <w:r w:rsidRPr="006D4EA2">
              <w:rPr>
                <w:b/>
                <w:szCs w:val="20"/>
              </w:rPr>
              <w:t>Prognostic significance of 24-h ambulatory blood pressure characteristics for cardiovascular morbidity in a population of elderly men.</w:t>
            </w:r>
            <w:r w:rsidRPr="006D4EA2">
              <w:rPr>
                <w:szCs w:val="20"/>
              </w:rPr>
              <w:t xml:space="preserve"> </w:t>
            </w:r>
            <w:r w:rsidRPr="006D4EA2">
              <w:rPr>
                <w:i/>
                <w:iCs/>
                <w:szCs w:val="20"/>
              </w:rPr>
              <w:t xml:space="preserve">Journal of Hypertension. </w:t>
            </w:r>
            <w:r w:rsidRPr="006D4EA2">
              <w:rPr>
                <w:szCs w:val="20"/>
              </w:rPr>
              <w:t>2004; 22(9):1691-1697</w:t>
            </w:r>
          </w:p>
        </w:tc>
        <w:tc>
          <w:tcPr>
            <w:tcW w:w="1215" w:type="pct"/>
          </w:tcPr>
          <w:tbl>
            <w:tblPr>
              <w:tblW w:w="3281" w:type="dxa"/>
              <w:tblBorders>
                <w:top w:val="nil"/>
                <w:left w:val="nil"/>
                <w:bottom w:val="nil"/>
                <w:right w:val="nil"/>
              </w:tblBorders>
              <w:tblLayout w:type="fixed"/>
              <w:tblLook w:val="0000" w:firstRow="0" w:lastRow="0" w:firstColumn="0" w:lastColumn="0" w:noHBand="0" w:noVBand="0"/>
            </w:tblPr>
            <w:tblGrid>
              <w:gridCol w:w="3281"/>
            </w:tblGrid>
            <w:tr w:rsidR="001C58CC" w:rsidRPr="006D4EA2" w:rsidTr="00ED0B76">
              <w:trPr>
                <w:trHeight w:val="496"/>
              </w:trPr>
              <w:tc>
                <w:tcPr>
                  <w:tcW w:w="3281" w:type="dxa"/>
                </w:tcPr>
                <w:p w:rsidR="001C58CC" w:rsidRPr="006D4EA2" w:rsidRDefault="001C58CC" w:rsidP="00ED0B76">
                  <w:pPr>
                    <w:ind w:left="-88"/>
                    <w:rPr>
                      <w:szCs w:val="20"/>
                    </w:rPr>
                  </w:pPr>
                  <w:r>
                    <w:rPr>
                      <w:szCs w:val="20"/>
                    </w:rPr>
                    <w:t xml:space="preserve">Compared ABPM and clinic Blood Pressure for detection of CV morbidity in 872 patients followed for an average 6.6 years. Found HR for </w:t>
                  </w:r>
                  <w:r w:rsidRPr="006D4EA2">
                    <w:rPr>
                      <w:szCs w:val="20"/>
                    </w:rPr>
                    <w:t>ABPM (24h): 1.23 (1.07, 1.42) p&lt;0.05</w:t>
                  </w:r>
                  <w:r>
                    <w:rPr>
                      <w:szCs w:val="20"/>
                    </w:rPr>
                    <w:t xml:space="preserve">, </w:t>
                  </w:r>
                  <w:r w:rsidRPr="006D4EA2">
                    <w:rPr>
                      <w:szCs w:val="20"/>
                    </w:rPr>
                    <w:t>ABPM (daytime): 1.23 (1.07, 1.42) p&lt;0.05 Clinic: 1.21 (1.04, 1.41) p&lt;0.05 per 1</w:t>
                  </w:r>
                  <w:r>
                    <w:rPr>
                      <w:szCs w:val="20"/>
                    </w:rPr>
                    <w:t xml:space="preserve"> </w:t>
                  </w:r>
                  <w:r w:rsidRPr="006D4EA2">
                    <w:rPr>
                      <w:szCs w:val="20"/>
                    </w:rPr>
                    <w:t>SD rise in SBP</w:t>
                  </w:r>
                  <w:r>
                    <w:rPr>
                      <w:szCs w:val="20"/>
                    </w:rPr>
                    <w:t xml:space="preserve">.  “Daytime ambulatory PP </w:t>
                  </w:r>
                  <w:r w:rsidRPr="005F6FFE">
                    <w:rPr>
                      <w:szCs w:val="20"/>
                    </w:rPr>
                    <w:t>predicted CV morbidity independently of office PP and other established CV risk factors.</w:t>
                  </w:r>
                  <w:r>
                    <w:rPr>
                      <w:szCs w:val="20"/>
                    </w:rPr>
                    <w:t>”</w:t>
                  </w:r>
                </w:p>
              </w:tc>
            </w:tr>
          </w:tbl>
          <w:p w:rsidR="001C58CC" w:rsidRDefault="001C58CC" w:rsidP="00ED0B76">
            <w:pPr>
              <w:rPr>
                <w:b/>
                <w:szCs w:val="20"/>
              </w:rPr>
            </w:pPr>
            <w:r>
              <w:rPr>
                <w:szCs w:val="20"/>
              </w:rPr>
              <w:t xml:space="preserve">  </w:t>
            </w:r>
          </w:p>
        </w:tc>
        <w:tc>
          <w:tcPr>
            <w:tcW w:w="966" w:type="pct"/>
          </w:tcPr>
          <w:p w:rsidR="001C58CC" w:rsidRPr="00E9144E" w:rsidRDefault="00DD4A3B" w:rsidP="00ED0B76">
            <w:pPr>
              <w:rPr>
                <w:szCs w:val="20"/>
              </w:rPr>
            </w:pPr>
            <w:hyperlink r:id="rId11" w:tooltip="Link to US National Library of Medicine " w:history="1">
              <w:r w:rsidR="001C58CC" w:rsidRPr="00261606">
                <w:rPr>
                  <w:rStyle w:val="Hyperlink"/>
                  <w:szCs w:val="20"/>
                </w:rPr>
                <w:t>https://www.ncbi.nlm.nih.gov/pubmed/15311096</w:t>
              </w:r>
            </w:hyperlink>
            <w:r w:rsidR="001C58CC">
              <w:rPr>
                <w:szCs w:val="20"/>
              </w:rPr>
              <w:t xml:space="preserve"> </w:t>
            </w:r>
          </w:p>
        </w:tc>
        <w:tc>
          <w:tcPr>
            <w:tcW w:w="834" w:type="pct"/>
          </w:tcPr>
          <w:p w:rsidR="001C58CC" w:rsidRPr="00835FA5" w:rsidRDefault="001C58CC" w:rsidP="00ED0B76">
            <w:r>
              <w:rPr>
                <w:szCs w:val="20"/>
              </w:rPr>
              <w:t>2004</w:t>
            </w:r>
          </w:p>
        </w:tc>
      </w:tr>
      <w:tr w:rsidR="001C58CC" w:rsidTr="001C58CC">
        <w:trPr>
          <w:cantSplit/>
        </w:trPr>
        <w:tc>
          <w:tcPr>
            <w:tcW w:w="232" w:type="pct"/>
          </w:tcPr>
          <w:p w:rsidR="001C58CC" w:rsidRPr="00965B6B" w:rsidRDefault="00D0646E" w:rsidP="00ED0B76">
            <w:pPr>
              <w:rPr>
                <w:szCs w:val="20"/>
              </w:rPr>
            </w:pPr>
            <w:r>
              <w:rPr>
                <w:szCs w:val="20"/>
              </w:rPr>
              <w:lastRenderedPageBreak/>
              <w:t>3.</w:t>
            </w:r>
          </w:p>
        </w:tc>
        <w:tc>
          <w:tcPr>
            <w:tcW w:w="768" w:type="pct"/>
          </w:tcPr>
          <w:p w:rsidR="001C58CC" w:rsidRPr="00E9144E" w:rsidRDefault="001C58CC" w:rsidP="00ED0B76">
            <w:pPr>
              <w:rPr>
                <w:szCs w:val="20"/>
              </w:rPr>
            </w:pPr>
            <w:r>
              <w:rPr>
                <w:szCs w:val="20"/>
              </w:rPr>
              <w:t>Prospective, Multicentre Observational</w:t>
            </w:r>
          </w:p>
        </w:tc>
        <w:tc>
          <w:tcPr>
            <w:tcW w:w="985" w:type="pct"/>
          </w:tcPr>
          <w:p w:rsidR="001C58CC" w:rsidRPr="00E9144E" w:rsidRDefault="001C58CC" w:rsidP="00ED0B76">
            <w:pPr>
              <w:rPr>
                <w:b/>
                <w:szCs w:val="20"/>
              </w:rPr>
            </w:pPr>
            <w:r w:rsidRPr="00D87D7B">
              <w:rPr>
                <w:szCs w:val="20"/>
              </w:rPr>
              <w:t xml:space="preserve">Dawes MG, </w:t>
            </w:r>
            <w:r>
              <w:rPr>
                <w:szCs w:val="20"/>
              </w:rPr>
              <w:t>et.al.</w:t>
            </w:r>
            <w:r w:rsidRPr="00D87D7B">
              <w:rPr>
                <w:szCs w:val="20"/>
              </w:rPr>
              <w:t xml:space="preserve"> </w:t>
            </w:r>
            <w:r w:rsidRPr="00D87D7B">
              <w:rPr>
                <w:b/>
                <w:szCs w:val="20"/>
              </w:rPr>
              <w:t>Daytime ambulatory systolic blood pressure is more effective at predicting mortality than clinic blood pressure</w:t>
            </w:r>
            <w:r w:rsidRPr="00D87D7B">
              <w:rPr>
                <w:szCs w:val="20"/>
              </w:rPr>
              <w:t xml:space="preserve">. </w:t>
            </w:r>
            <w:r w:rsidRPr="00D87D7B">
              <w:rPr>
                <w:i/>
                <w:iCs/>
                <w:szCs w:val="20"/>
              </w:rPr>
              <w:t xml:space="preserve">Blood Pressure Monitoring. </w:t>
            </w:r>
            <w:r w:rsidRPr="00D87D7B">
              <w:rPr>
                <w:szCs w:val="20"/>
              </w:rPr>
              <w:t>2006; 11(3):111-118.</w:t>
            </w:r>
          </w:p>
        </w:tc>
        <w:tc>
          <w:tcPr>
            <w:tcW w:w="1215" w:type="pct"/>
          </w:tcPr>
          <w:tbl>
            <w:tblPr>
              <w:tblW w:w="0" w:type="auto"/>
              <w:tblBorders>
                <w:top w:val="nil"/>
                <w:left w:val="nil"/>
                <w:bottom w:val="nil"/>
                <w:right w:val="nil"/>
              </w:tblBorders>
              <w:tblLayout w:type="fixed"/>
              <w:tblLook w:val="0000" w:firstRow="0" w:lastRow="0" w:firstColumn="0" w:lastColumn="0" w:noHBand="0" w:noVBand="0"/>
            </w:tblPr>
            <w:tblGrid>
              <w:gridCol w:w="3139"/>
            </w:tblGrid>
            <w:tr w:rsidR="001C58CC" w:rsidRPr="00D87D7B" w:rsidTr="00ED0B76">
              <w:trPr>
                <w:trHeight w:val="360"/>
              </w:trPr>
              <w:tc>
                <w:tcPr>
                  <w:tcW w:w="3139" w:type="dxa"/>
                </w:tcPr>
                <w:p w:rsidR="001C58CC" w:rsidRPr="00D87D7B" w:rsidRDefault="001C58CC" w:rsidP="00ED0B76">
                  <w:pPr>
                    <w:ind w:left="-88" w:right="175"/>
                    <w:rPr>
                      <w:szCs w:val="20"/>
                    </w:rPr>
                  </w:pPr>
                  <w:r>
                    <w:rPr>
                      <w:szCs w:val="20"/>
                    </w:rPr>
                    <w:t xml:space="preserve">Compared ABPM and clinic Blood Pressure for detection of mortality in 10,129 patients followed for 10 years. Found HR </w:t>
                  </w:r>
                  <w:r w:rsidRPr="00D87D7B">
                    <w:rPr>
                      <w:szCs w:val="20"/>
                    </w:rPr>
                    <w:t xml:space="preserve">ABPM (daytime): 1.51 (1.25, 1.83); p&lt;0.001 </w:t>
                  </w:r>
                  <w:r>
                    <w:rPr>
                      <w:szCs w:val="20"/>
                    </w:rPr>
                    <w:t xml:space="preserve">vs </w:t>
                  </w:r>
                  <w:r w:rsidRPr="00D87D7B">
                    <w:rPr>
                      <w:szCs w:val="20"/>
                    </w:rPr>
                    <w:t xml:space="preserve">Clinic: 1.02 (0.84, 1.24); p=0.90 </w:t>
                  </w:r>
                  <w:r>
                    <w:rPr>
                      <w:szCs w:val="20"/>
                    </w:rPr>
                    <w:t xml:space="preserve">for the </w:t>
                  </w:r>
                  <w:r w:rsidRPr="00D87D7B">
                    <w:rPr>
                      <w:szCs w:val="20"/>
                    </w:rPr>
                    <w:t xml:space="preserve">highest quartile of SBP compared to </w:t>
                  </w:r>
                  <w:r>
                    <w:rPr>
                      <w:szCs w:val="20"/>
                    </w:rPr>
                    <w:t>lowest.  “A</w:t>
                  </w:r>
                  <w:r w:rsidRPr="0013697C">
                    <w:rPr>
                      <w:szCs w:val="20"/>
                    </w:rPr>
                    <w:t>mbulatory blood pressure was also a better predictor of all-cause mortality both in patients taking medication and those not taking medication at the time of monitoring</w:t>
                  </w:r>
                  <w:r>
                    <w:rPr>
                      <w:szCs w:val="20"/>
                    </w:rPr>
                    <w:t>.”</w:t>
                  </w:r>
                </w:p>
              </w:tc>
            </w:tr>
          </w:tbl>
          <w:p w:rsidR="001C58CC" w:rsidRDefault="001C58CC" w:rsidP="00ED0B76">
            <w:pPr>
              <w:rPr>
                <w:b/>
                <w:szCs w:val="20"/>
              </w:rPr>
            </w:pPr>
          </w:p>
        </w:tc>
        <w:tc>
          <w:tcPr>
            <w:tcW w:w="966" w:type="pct"/>
          </w:tcPr>
          <w:p w:rsidR="001C58CC" w:rsidRPr="00E9144E" w:rsidRDefault="00DD4A3B" w:rsidP="00ED0B76">
            <w:pPr>
              <w:rPr>
                <w:szCs w:val="20"/>
              </w:rPr>
            </w:pPr>
            <w:hyperlink r:id="rId12" w:tooltip="Link to US National Library of Medicine " w:history="1">
              <w:r w:rsidR="001C58CC" w:rsidRPr="00261606">
                <w:rPr>
                  <w:rStyle w:val="Hyperlink"/>
                  <w:szCs w:val="20"/>
                </w:rPr>
                <w:t>https://www.ncbi.nlm.nih.gov/pubmed/16702819</w:t>
              </w:r>
            </w:hyperlink>
            <w:r w:rsidR="001C58CC">
              <w:rPr>
                <w:szCs w:val="20"/>
              </w:rPr>
              <w:t xml:space="preserve"> </w:t>
            </w:r>
          </w:p>
        </w:tc>
        <w:tc>
          <w:tcPr>
            <w:tcW w:w="834" w:type="pct"/>
          </w:tcPr>
          <w:p w:rsidR="001C58CC" w:rsidRPr="00E9144E" w:rsidRDefault="001C58CC" w:rsidP="00ED0B76">
            <w:pPr>
              <w:rPr>
                <w:szCs w:val="20"/>
              </w:rPr>
            </w:pPr>
            <w:r>
              <w:rPr>
                <w:szCs w:val="20"/>
              </w:rPr>
              <w:t>2006</w:t>
            </w:r>
          </w:p>
        </w:tc>
      </w:tr>
      <w:tr w:rsidR="001C58CC" w:rsidTr="001C58CC">
        <w:trPr>
          <w:cantSplit/>
        </w:trPr>
        <w:tc>
          <w:tcPr>
            <w:tcW w:w="232" w:type="pct"/>
          </w:tcPr>
          <w:p w:rsidR="001C58CC" w:rsidRPr="00965B6B" w:rsidRDefault="00D0646E" w:rsidP="00ED0B76">
            <w:pPr>
              <w:rPr>
                <w:szCs w:val="20"/>
              </w:rPr>
            </w:pPr>
            <w:r>
              <w:rPr>
                <w:szCs w:val="20"/>
              </w:rPr>
              <w:t>4.</w:t>
            </w:r>
          </w:p>
        </w:tc>
        <w:tc>
          <w:tcPr>
            <w:tcW w:w="768" w:type="pct"/>
          </w:tcPr>
          <w:p w:rsidR="001C58CC" w:rsidRPr="00E9144E" w:rsidRDefault="001C58CC" w:rsidP="00ED0B76">
            <w:pPr>
              <w:rPr>
                <w:szCs w:val="20"/>
              </w:rPr>
            </w:pPr>
            <w:r>
              <w:rPr>
                <w:szCs w:val="20"/>
              </w:rPr>
              <w:t>Observational</w:t>
            </w:r>
          </w:p>
        </w:tc>
        <w:tc>
          <w:tcPr>
            <w:tcW w:w="985" w:type="pct"/>
          </w:tcPr>
          <w:p w:rsidR="001C58CC" w:rsidRPr="00E9144E" w:rsidRDefault="001C58CC" w:rsidP="00ED0B76">
            <w:pPr>
              <w:rPr>
                <w:szCs w:val="20"/>
              </w:rPr>
            </w:pPr>
            <w:r w:rsidRPr="009E4341">
              <w:rPr>
                <w:szCs w:val="20"/>
              </w:rPr>
              <w:t xml:space="preserve">Dolan </w:t>
            </w:r>
            <w:r>
              <w:rPr>
                <w:szCs w:val="20"/>
              </w:rPr>
              <w:t xml:space="preserve">et.al </w:t>
            </w:r>
            <w:r w:rsidRPr="009E4341">
              <w:rPr>
                <w:b/>
                <w:szCs w:val="20"/>
              </w:rPr>
              <w:t>Superiority of ambulatory over clinic blood pressure measurement in predicting mortality: the Dublin outcome study.</w:t>
            </w:r>
            <w:r w:rsidRPr="009E4341">
              <w:rPr>
                <w:szCs w:val="20"/>
              </w:rPr>
              <w:t xml:space="preserve"> </w:t>
            </w:r>
            <w:r w:rsidRPr="009E4341">
              <w:rPr>
                <w:i/>
                <w:iCs/>
                <w:szCs w:val="20"/>
              </w:rPr>
              <w:t xml:space="preserve">Hypertension. </w:t>
            </w:r>
            <w:r w:rsidRPr="009E4341">
              <w:rPr>
                <w:szCs w:val="20"/>
              </w:rPr>
              <w:t>2005; 46(1):156-161.</w:t>
            </w:r>
          </w:p>
        </w:tc>
        <w:tc>
          <w:tcPr>
            <w:tcW w:w="1215" w:type="pct"/>
          </w:tcPr>
          <w:tbl>
            <w:tblPr>
              <w:tblW w:w="0" w:type="auto"/>
              <w:tblBorders>
                <w:top w:val="nil"/>
                <w:left w:val="nil"/>
                <w:bottom w:val="nil"/>
                <w:right w:val="nil"/>
              </w:tblBorders>
              <w:tblLayout w:type="fixed"/>
              <w:tblLook w:val="0000" w:firstRow="0" w:lastRow="0" w:firstColumn="0" w:lastColumn="0" w:noHBand="0" w:noVBand="0"/>
            </w:tblPr>
            <w:tblGrid>
              <w:gridCol w:w="3139"/>
            </w:tblGrid>
            <w:tr w:rsidR="001C58CC" w:rsidRPr="00435D68" w:rsidTr="00ED0B76">
              <w:trPr>
                <w:trHeight w:val="496"/>
              </w:trPr>
              <w:tc>
                <w:tcPr>
                  <w:tcW w:w="3139" w:type="dxa"/>
                </w:tcPr>
                <w:p w:rsidR="001C58CC" w:rsidRPr="00435D68" w:rsidRDefault="001C58CC" w:rsidP="00ED0B76">
                  <w:pPr>
                    <w:ind w:left="-88" w:right="-108"/>
                    <w:rPr>
                      <w:szCs w:val="20"/>
                    </w:rPr>
                  </w:pPr>
                  <w:r>
                    <w:rPr>
                      <w:szCs w:val="20"/>
                    </w:rPr>
                    <w:t xml:space="preserve">Compared ABPM and clinic Blood Pressure for detection of CV mortality in 5292 patients for an average of 7.9 years. Found HR for </w:t>
                  </w:r>
                  <w:r w:rsidRPr="00435D68">
                    <w:rPr>
                      <w:szCs w:val="20"/>
                    </w:rPr>
                    <w:t xml:space="preserve">ABPM (24h): 1.19 (1.14, 1.26) p&lt;0.001 ABPM (night-time): 1.21 (1.16, 1.27) p&lt;0.001 </w:t>
                  </w:r>
                  <w:r>
                    <w:rPr>
                      <w:szCs w:val="20"/>
                    </w:rPr>
                    <w:t xml:space="preserve">vs. </w:t>
                  </w:r>
                  <w:r w:rsidRPr="00435D68">
                    <w:rPr>
                      <w:szCs w:val="20"/>
                    </w:rPr>
                    <w:t xml:space="preserve">Clinic: 1.06 (1.02, 1.10) p&lt;0.01 </w:t>
                  </w:r>
                  <w:r>
                    <w:rPr>
                      <w:szCs w:val="20"/>
                    </w:rPr>
                    <w:t>per 10mmHg rise in SBP. “A</w:t>
                  </w:r>
                  <w:r w:rsidRPr="00435D68">
                    <w:rPr>
                      <w:szCs w:val="20"/>
                    </w:rPr>
                    <w:t>mbulatory measurement of blood pressure is superior to clinic measurement in predicting cardiovascular mortality</w:t>
                  </w:r>
                  <w:r>
                    <w:rPr>
                      <w:szCs w:val="20"/>
                    </w:rPr>
                    <w:t>”</w:t>
                  </w:r>
                </w:p>
              </w:tc>
            </w:tr>
          </w:tbl>
          <w:p w:rsidR="001C58CC" w:rsidRPr="00E9144E" w:rsidRDefault="001C58CC" w:rsidP="00ED0B76">
            <w:pPr>
              <w:rPr>
                <w:szCs w:val="20"/>
              </w:rPr>
            </w:pPr>
          </w:p>
        </w:tc>
        <w:tc>
          <w:tcPr>
            <w:tcW w:w="966" w:type="pct"/>
          </w:tcPr>
          <w:p w:rsidR="001C58CC" w:rsidRPr="00E9144E" w:rsidRDefault="00DD4A3B" w:rsidP="00ED0B76">
            <w:pPr>
              <w:rPr>
                <w:szCs w:val="20"/>
              </w:rPr>
            </w:pPr>
            <w:hyperlink r:id="rId13" w:tooltip="Link to US National Library of Medicine " w:history="1">
              <w:r w:rsidR="001C58CC" w:rsidRPr="00261606">
                <w:rPr>
                  <w:rStyle w:val="Hyperlink"/>
                  <w:szCs w:val="20"/>
                </w:rPr>
                <w:t>https://www.ncbi.nlm.nih.gov/pubmed/15939805</w:t>
              </w:r>
            </w:hyperlink>
            <w:r w:rsidR="001C58CC">
              <w:rPr>
                <w:szCs w:val="20"/>
              </w:rPr>
              <w:t xml:space="preserve"> </w:t>
            </w:r>
          </w:p>
        </w:tc>
        <w:tc>
          <w:tcPr>
            <w:tcW w:w="834" w:type="pct"/>
          </w:tcPr>
          <w:p w:rsidR="001C58CC" w:rsidRPr="00E9144E" w:rsidRDefault="001C58CC" w:rsidP="00ED0B76">
            <w:pPr>
              <w:rPr>
                <w:szCs w:val="20"/>
              </w:rPr>
            </w:pPr>
            <w:r>
              <w:rPr>
                <w:szCs w:val="20"/>
              </w:rPr>
              <w:t>2005</w:t>
            </w:r>
          </w:p>
        </w:tc>
      </w:tr>
      <w:tr w:rsidR="001C58CC" w:rsidTr="001C58CC">
        <w:trPr>
          <w:cantSplit/>
        </w:trPr>
        <w:tc>
          <w:tcPr>
            <w:tcW w:w="232" w:type="pct"/>
          </w:tcPr>
          <w:p w:rsidR="001C58CC" w:rsidRDefault="00D0646E" w:rsidP="00ED0B76">
            <w:pPr>
              <w:rPr>
                <w:szCs w:val="20"/>
              </w:rPr>
            </w:pPr>
            <w:r>
              <w:rPr>
                <w:szCs w:val="20"/>
              </w:rPr>
              <w:lastRenderedPageBreak/>
              <w:t>5.</w:t>
            </w:r>
          </w:p>
        </w:tc>
        <w:tc>
          <w:tcPr>
            <w:tcW w:w="768" w:type="pct"/>
          </w:tcPr>
          <w:p w:rsidR="001C58CC" w:rsidRPr="00956AC9" w:rsidRDefault="001C58CC" w:rsidP="00ED0B76">
            <w:pPr>
              <w:rPr>
                <w:b/>
              </w:rPr>
            </w:pPr>
            <w:r>
              <w:rPr>
                <w:szCs w:val="20"/>
              </w:rPr>
              <w:t>Meta-Analysis.</w:t>
            </w:r>
          </w:p>
        </w:tc>
        <w:tc>
          <w:tcPr>
            <w:tcW w:w="985" w:type="pct"/>
          </w:tcPr>
          <w:p w:rsidR="001C58CC" w:rsidRPr="00956AC9" w:rsidRDefault="001C58CC" w:rsidP="00ED0B76">
            <w:pPr>
              <w:rPr>
                <w:b/>
              </w:rPr>
            </w:pPr>
            <w:r w:rsidRPr="00435D68">
              <w:rPr>
                <w:szCs w:val="20"/>
              </w:rPr>
              <w:t xml:space="preserve">Fagard </w:t>
            </w:r>
            <w:r>
              <w:rPr>
                <w:szCs w:val="20"/>
              </w:rPr>
              <w:t>et.al</w:t>
            </w:r>
            <w:r w:rsidRPr="00435D68">
              <w:rPr>
                <w:szCs w:val="20"/>
              </w:rPr>
              <w:t xml:space="preserve">. </w:t>
            </w:r>
            <w:r w:rsidRPr="00435D68">
              <w:rPr>
                <w:b/>
                <w:szCs w:val="20"/>
              </w:rPr>
              <w:t>Prognostic significance of ambulatory blood pressure in hypertensive patients with history of cardiovascular disease</w:t>
            </w:r>
            <w:r w:rsidRPr="00435D68">
              <w:rPr>
                <w:szCs w:val="20"/>
              </w:rPr>
              <w:t xml:space="preserve">. </w:t>
            </w:r>
            <w:r w:rsidRPr="00435D68">
              <w:rPr>
                <w:i/>
                <w:iCs/>
                <w:szCs w:val="20"/>
              </w:rPr>
              <w:t xml:space="preserve">Blood Pressure Monitoring. </w:t>
            </w:r>
            <w:r w:rsidRPr="00435D68">
              <w:rPr>
                <w:szCs w:val="20"/>
              </w:rPr>
              <w:t>2008; 13(6):325-332</w:t>
            </w:r>
          </w:p>
        </w:tc>
        <w:tc>
          <w:tcPr>
            <w:tcW w:w="1215" w:type="pct"/>
          </w:tcPr>
          <w:tbl>
            <w:tblPr>
              <w:tblW w:w="0" w:type="auto"/>
              <w:tblBorders>
                <w:top w:val="nil"/>
                <w:left w:val="nil"/>
                <w:bottom w:val="nil"/>
                <w:right w:val="nil"/>
              </w:tblBorders>
              <w:tblLayout w:type="fixed"/>
              <w:tblLook w:val="0000" w:firstRow="0" w:lastRow="0" w:firstColumn="0" w:lastColumn="0" w:noHBand="0" w:noVBand="0"/>
            </w:tblPr>
            <w:tblGrid>
              <w:gridCol w:w="3139"/>
            </w:tblGrid>
            <w:tr w:rsidR="001C58CC" w:rsidRPr="00A00B0D" w:rsidTr="00ED0B76">
              <w:trPr>
                <w:trHeight w:val="496"/>
              </w:trPr>
              <w:tc>
                <w:tcPr>
                  <w:tcW w:w="3139" w:type="dxa"/>
                </w:tcPr>
                <w:p w:rsidR="001C58CC" w:rsidRPr="00A00B0D" w:rsidRDefault="001C58CC" w:rsidP="00ED0B76">
                  <w:pPr>
                    <w:ind w:left="-88"/>
                    <w:rPr>
                      <w:szCs w:val="20"/>
                    </w:rPr>
                  </w:pPr>
                  <w:r w:rsidRPr="00435D68">
                    <w:rPr>
                      <w:szCs w:val="20"/>
                    </w:rPr>
                    <w:t>Compared ABPM and clinic Blood Pressure for detection of CV mortality</w:t>
                  </w:r>
                  <w:r>
                    <w:rPr>
                      <w:szCs w:val="20"/>
                    </w:rPr>
                    <w:t>, mortality and CV events</w:t>
                  </w:r>
                  <w:r w:rsidRPr="00435D68">
                    <w:rPr>
                      <w:szCs w:val="20"/>
                    </w:rPr>
                    <w:t xml:space="preserve"> in </w:t>
                  </w:r>
                  <w:r>
                    <w:rPr>
                      <w:szCs w:val="20"/>
                    </w:rPr>
                    <w:t>302</w:t>
                  </w:r>
                  <w:r w:rsidRPr="00435D68">
                    <w:rPr>
                      <w:szCs w:val="20"/>
                    </w:rPr>
                    <w:t xml:space="preserve"> patients </w:t>
                  </w:r>
                  <w:r>
                    <w:rPr>
                      <w:szCs w:val="20"/>
                    </w:rPr>
                    <w:t xml:space="preserve">(3 studies) </w:t>
                  </w:r>
                  <w:r w:rsidRPr="00435D68">
                    <w:rPr>
                      <w:szCs w:val="20"/>
                    </w:rPr>
                    <w:t xml:space="preserve">for an average of </w:t>
                  </w:r>
                  <w:r>
                    <w:rPr>
                      <w:szCs w:val="20"/>
                    </w:rPr>
                    <w:t>6.8</w:t>
                  </w:r>
                  <w:r w:rsidRPr="00435D68">
                    <w:rPr>
                      <w:szCs w:val="20"/>
                    </w:rPr>
                    <w:t xml:space="preserve"> years. Found HR for</w:t>
                  </w:r>
                  <w:r>
                    <w:rPr>
                      <w:szCs w:val="20"/>
                    </w:rPr>
                    <w:t xml:space="preserve"> </w:t>
                  </w:r>
                  <w:r w:rsidRPr="00A00B0D">
                    <w:rPr>
                      <w:szCs w:val="20"/>
                    </w:rPr>
                    <w:t xml:space="preserve">ABPM (24h): 1.20 (0.91-1.58) NS ABPM (daytime): 1.03 (0.77-1.36) NS ABPM (night-time): 1.34 (1.06-1.69) p&lt;0.01 </w:t>
                  </w:r>
                  <w:r>
                    <w:rPr>
                      <w:szCs w:val="20"/>
                    </w:rPr>
                    <w:t>p</w:t>
                  </w:r>
                  <w:r w:rsidRPr="00A00B0D">
                    <w:rPr>
                      <w:szCs w:val="20"/>
                    </w:rPr>
                    <w:t>er 1SD rise in SBP</w:t>
                  </w:r>
                  <w:r>
                    <w:rPr>
                      <w:szCs w:val="20"/>
                    </w:rPr>
                    <w:t>. “</w:t>
                  </w:r>
                  <w:r w:rsidRPr="00A00B0D">
                    <w:rPr>
                      <w:szCs w:val="20"/>
                    </w:rPr>
                    <w:t>Night-time BP is the better predictor of death and recurrent CV events in hypertensive patients with a history of CV disease</w:t>
                  </w:r>
                  <w:r>
                    <w:rPr>
                      <w:szCs w:val="20"/>
                    </w:rPr>
                    <w:t>”</w:t>
                  </w:r>
                </w:p>
              </w:tc>
            </w:tr>
          </w:tbl>
          <w:p w:rsidR="001C58CC" w:rsidRPr="00E9144E" w:rsidRDefault="001C58CC" w:rsidP="00ED0B76"/>
        </w:tc>
        <w:tc>
          <w:tcPr>
            <w:tcW w:w="966" w:type="pct"/>
          </w:tcPr>
          <w:p w:rsidR="001C58CC" w:rsidRPr="00E9144E" w:rsidRDefault="00DD4A3B" w:rsidP="00ED0B76">
            <w:hyperlink r:id="rId14" w:tooltip="Link to US National Library of Medicine " w:history="1">
              <w:r w:rsidR="001C58CC" w:rsidRPr="00261606">
                <w:rPr>
                  <w:rStyle w:val="Hyperlink"/>
                  <w:szCs w:val="20"/>
                </w:rPr>
                <w:t>https://www.ncbi.nlm.nih.gov/pubmed/18756173</w:t>
              </w:r>
            </w:hyperlink>
            <w:r w:rsidR="001C58CC">
              <w:rPr>
                <w:szCs w:val="20"/>
              </w:rPr>
              <w:t xml:space="preserve"> </w:t>
            </w:r>
          </w:p>
        </w:tc>
        <w:tc>
          <w:tcPr>
            <w:tcW w:w="834" w:type="pct"/>
          </w:tcPr>
          <w:p w:rsidR="001C58CC" w:rsidRPr="00E9144E" w:rsidRDefault="001C58CC" w:rsidP="00ED0B76">
            <w:r>
              <w:t>2008</w:t>
            </w:r>
          </w:p>
        </w:tc>
      </w:tr>
      <w:tr w:rsidR="001C58CC" w:rsidTr="001C58CC">
        <w:trPr>
          <w:cantSplit/>
        </w:trPr>
        <w:tc>
          <w:tcPr>
            <w:tcW w:w="232" w:type="pct"/>
          </w:tcPr>
          <w:p w:rsidR="001C58CC" w:rsidRPr="00965B6B" w:rsidRDefault="00D0646E" w:rsidP="00ED0B76">
            <w:pPr>
              <w:rPr>
                <w:szCs w:val="20"/>
              </w:rPr>
            </w:pPr>
            <w:r>
              <w:rPr>
                <w:szCs w:val="20"/>
              </w:rPr>
              <w:t>6.</w:t>
            </w:r>
          </w:p>
        </w:tc>
        <w:tc>
          <w:tcPr>
            <w:tcW w:w="768" w:type="pct"/>
          </w:tcPr>
          <w:p w:rsidR="001C58CC" w:rsidRPr="00E9144E" w:rsidRDefault="001C58CC" w:rsidP="00ED0B76">
            <w:pPr>
              <w:rPr>
                <w:szCs w:val="20"/>
              </w:rPr>
            </w:pPr>
            <w:r>
              <w:rPr>
                <w:szCs w:val="20"/>
              </w:rPr>
              <w:t>Observational</w:t>
            </w:r>
          </w:p>
        </w:tc>
        <w:tc>
          <w:tcPr>
            <w:tcW w:w="985" w:type="pct"/>
          </w:tcPr>
          <w:p w:rsidR="001C58CC" w:rsidRPr="00E9144E" w:rsidRDefault="001C58CC" w:rsidP="00ED0B76">
            <w:pPr>
              <w:rPr>
                <w:szCs w:val="20"/>
              </w:rPr>
            </w:pPr>
            <w:r w:rsidRPr="00A00B0D">
              <w:rPr>
                <w:szCs w:val="20"/>
              </w:rPr>
              <w:t xml:space="preserve">Hansen TW, </w:t>
            </w:r>
            <w:r>
              <w:rPr>
                <w:szCs w:val="20"/>
              </w:rPr>
              <w:t>et.al</w:t>
            </w:r>
            <w:r w:rsidRPr="00A00B0D">
              <w:rPr>
                <w:szCs w:val="20"/>
              </w:rPr>
              <w:t xml:space="preserve"> </w:t>
            </w:r>
            <w:r w:rsidRPr="00A00B0D">
              <w:rPr>
                <w:b/>
                <w:szCs w:val="20"/>
              </w:rPr>
              <w:t>Ambulatory blood pressure and mortality: a population-based study</w:t>
            </w:r>
            <w:r w:rsidRPr="00A00B0D">
              <w:rPr>
                <w:szCs w:val="20"/>
              </w:rPr>
              <w:t xml:space="preserve">. </w:t>
            </w:r>
            <w:r w:rsidRPr="00A00B0D">
              <w:rPr>
                <w:i/>
                <w:iCs/>
                <w:szCs w:val="20"/>
              </w:rPr>
              <w:t xml:space="preserve">Hypertension. </w:t>
            </w:r>
            <w:r w:rsidRPr="00A00B0D">
              <w:rPr>
                <w:szCs w:val="20"/>
              </w:rPr>
              <w:t>2005; 45(4):499-504.</w:t>
            </w:r>
          </w:p>
        </w:tc>
        <w:tc>
          <w:tcPr>
            <w:tcW w:w="1215" w:type="pct"/>
          </w:tcPr>
          <w:tbl>
            <w:tblPr>
              <w:tblW w:w="3281" w:type="dxa"/>
              <w:tblBorders>
                <w:top w:val="nil"/>
                <w:left w:val="nil"/>
                <w:bottom w:val="nil"/>
                <w:right w:val="nil"/>
              </w:tblBorders>
              <w:tblLayout w:type="fixed"/>
              <w:tblLook w:val="0000" w:firstRow="0" w:lastRow="0" w:firstColumn="0" w:lastColumn="0" w:noHBand="0" w:noVBand="0"/>
            </w:tblPr>
            <w:tblGrid>
              <w:gridCol w:w="3281"/>
            </w:tblGrid>
            <w:tr w:rsidR="001C58CC" w:rsidRPr="00A00B0D" w:rsidTr="00ED0B76">
              <w:trPr>
                <w:trHeight w:val="496"/>
              </w:trPr>
              <w:tc>
                <w:tcPr>
                  <w:tcW w:w="3281" w:type="dxa"/>
                </w:tcPr>
                <w:p w:rsidR="001C58CC" w:rsidRPr="00A00B0D" w:rsidRDefault="001C58CC" w:rsidP="00ED0B76">
                  <w:pPr>
                    <w:ind w:left="-88"/>
                    <w:rPr>
                      <w:szCs w:val="20"/>
                    </w:rPr>
                  </w:pPr>
                  <w:r w:rsidRPr="00435D68">
                    <w:rPr>
                      <w:szCs w:val="20"/>
                    </w:rPr>
                    <w:t>Compared ABPM and clinic Blood Pressure for detection of CV mortality</w:t>
                  </w:r>
                  <w:r>
                    <w:rPr>
                      <w:szCs w:val="20"/>
                    </w:rPr>
                    <w:t>, mortality and CV events</w:t>
                  </w:r>
                  <w:r w:rsidRPr="00435D68">
                    <w:rPr>
                      <w:szCs w:val="20"/>
                    </w:rPr>
                    <w:t xml:space="preserve"> in </w:t>
                  </w:r>
                  <w:r>
                    <w:rPr>
                      <w:szCs w:val="20"/>
                    </w:rPr>
                    <w:t>1700</w:t>
                  </w:r>
                  <w:r w:rsidRPr="00435D68">
                    <w:rPr>
                      <w:szCs w:val="20"/>
                    </w:rPr>
                    <w:t xml:space="preserve"> patients for an average of </w:t>
                  </w:r>
                  <w:r>
                    <w:rPr>
                      <w:szCs w:val="20"/>
                    </w:rPr>
                    <w:t>9.5</w:t>
                  </w:r>
                  <w:r w:rsidRPr="00435D68">
                    <w:rPr>
                      <w:szCs w:val="20"/>
                    </w:rPr>
                    <w:t xml:space="preserve"> years. Found HR for</w:t>
                  </w:r>
                  <w:r>
                    <w:rPr>
                      <w:szCs w:val="20"/>
                    </w:rPr>
                    <w:t xml:space="preserve"> </w:t>
                  </w:r>
                  <w:r w:rsidRPr="00A00B0D">
                    <w:rPr>
                      <w:szCs w:val="20"/>
                    </w:rPr>
                    <w:t>ABPM (2</w:t>
                  </w:r>
                  <w:r>
                    <w:rPr>
                      <w:szCs w:val="20"/>
                    </w:rPr>
                    <w:t xml:space="preserve">4h): 1.51 (1.28, 1.77) p&lt;0.0001, </w:t>
                  </w:r>
                  <w:r w:rsidRPr="00A00B0D">
                    <w:rPr>
                      <w:szCs w:val="20"/>
                    </w:rPr>
                    <w:t xml:space="preserve">ABPM (daytime):1.50 (1.27, 1.76) p&lt;0.0001 </w:t>
                  </w:r>
                  <w:r>
                    <w:rPr>
                      <w:szCs w:val="20"/>
                    </w:rPr>
                    <w:t xml:space="preserve">vs. </w:t>
                  </w:r>
                  <w:r w:rsidRPr="00A00B0D">
                    <w:rPr>
                      <w:szCs w:val="20"/>
                    </w:rPr>
                    <w:t>Clinic: 1.25 (1.10, 1.42) p&lt;0.001</w:t>
                  </w:r>
                  <w:r>
                    <w:rPr>
                      <w:szCs w:val="20"/>
                    </w:rPr>
                    <w:t xml:space="preserve"> </w:t>
                  </w:r>
                  <w:r w:rsidRPr="00A00B0D">
                    <w:rPr>
                      <w:szCs w:val="20"/>
                    </w:rPr>
                    <w:t>per 10mmHg rise in SBP</w:t>
                  </w:r>
                  <w:r>
                    <w:rPr>
                      <w:szCs w:val="20"/>
                    </w:rPr>
                    <w:t>. “A</w:t>
                  </w:r>
                  <w:r w:rsidRPr="00487CB6">
                    <w:rPr>
                      <w:szCs w:val="20"/>
                    </w:rPr>
                    <w:t>mbulatory blood pressure provided prognostic information on mortality above and beyond that of office blood pressure</w:t>
                  </w:r>
                  <w:r>
                    <w:rPr>
                      <w:szCs w:val="20"/>
                    </w:rPr>
                    <w:t>”</w:t>
                  </w:r>
                  <w:r w:rsidRPr="00487CB6">
                    <w:rPr>
                      <w:szCs w:val="20"/>
                    </w:rPr>
                    <w:t>.</w:t>
                  </w:r>
                </w:p>
              </w:tc>
            </w:tr>
          </w:tbl>
          <w:p w:rsidR="001C58CC" w:rsidRPr="00E9144E" w:rsidRDefault="001C58CC" w:rsidP="00ED0B76">
            <w:pPr>
              <w:rPr>
                <w:szCs w:val="20"/>
              </w:rPr>
            </w:pPr>
          </w:p>
        </w:tc>
        <w:tc>
          <w:tcPr>
            <w:tcW w:w="966" w:type="pct"/>
          </w:tcPr>
          <w:p w:rsidR="001C58CC" w:rsidRPr="00E9144E" w:rsidRDefault="00DD4A3B" w:rsidP="00ED0B76">
            <w:pPr>
              <w:rPr>
                <w:szCs w:val="20"/>
              </w:rPr>
            </w:pPr>
            <w:hyperlink r:id="rId15" w:tooltip="Link to US National Library of Medicine " w:history="1">
              <w:r w:rsidR="001C58CC" w:rsidRPr="00261606">
                <w:rPr>
                  <w:rStyle w:val="Hyperlink"/>
                  <w:szCs w:val="20"/>
                </w:rPr>
                <w:t>https://www.ncbi.nlm.nih.gov/pubmed/15753229</w:t>
              </w:r>
            </w:hyperlink>
            <w:r w:rsidR="001C58CC">
              <w:rPr>
                <w:szCs w:val="20"/>
              </w:rPr>
              <w:t xml:space="preserve"> </w:t>
            </w:r>
          </w:p>
        </w:tc>
        <w:tc>
          <w:tcPr>
            <w:tcW w:w="834" w:type="pct"/>
          </w:tcPr>
          <w:p w:rsidR="001C58CC" w:rsidRPr="00E9144E" w:rsidRDefault="001C58CC" w:rsidP="00ED0B76">
            <w:pPr>
              <w:rPr>
                <w:szCs w:val="20"/>
              </w:rPr>
            </w:pPr>
            <w:r>
              <w:rPr>
                <w:szCs w:val="20"/>
              </w:rPr>
              <w:t>2005</w:t>
            </w:r>
          </w:p>
        </w:tc>
      </w:tr>
      <w:tr w:rsidR="001C58CC" w:rsidTr="001C58CC">
        <w:trPr>
          <w:cantSplit/>
        </w:trPr>
        <w:tc>
          <w:tcPr>
            <w:tcW w:w="232" w:type="pct"/>
          </w:tcPr>
          <w:p w:rsidR="001C58CC" w:rsidRPr="00965B6B" w:rsidRDefault="00D0646E" w:rsidP="00ED0B76">
            <w:pPr>
              <w:rPr>
                <w:szCs w:val="20"/>
              </w:rPr>
            </w:pPr>
            <w:r>
              <w:rPr>
                <w:szCs w:val="20"/>
              </w:rPr>
              <w:lastRenderedPageBreak/>
              <w:t>7.</w:t>
            </w:r>
          </w:p>
        </w:tc>
        <w:tc>
          <w:tcPr>
            <w:tcW w:w="768" w:type="pct"/>
          </w:tcPr>
          <w:p w:rsidR="001C58CC" w:rsidRPr="00E9144E" w:rsidRDefault="001C58CC" w:rsidP="00ED0B76">
            <w:pPr>
              <w:rPr>
                <w:szCs w:val="20"/>
              </w:rPr>
            </w:pPr>
            <w:r>
              <w:rPr>
                <w:szCs w:val="20"/>
              </w:rPr>
              <w:t>Meta-analysis</w:t>
            </w:r>
          </w:p>
        </w:tc>
        <w:tc>
          <w:tcPr>
            <w:tcW w:w="985" w:type="pct"/>
          </w:tcPr>
          <w:p w:rsidR="001C58CC" w:rsidRPr="00E9144E" w:rsidRDefault="001C58CC" w:rsidP="00ED0B76">
            <w:pPr>
              <w:rPr>
                <w:szCs w:val="20"/>
              </w:rPr>
            </w:pPr>
            <w:r w:rsidRPr="009F0DAE">
              <w:rPr>
                <w:szCs w:val="20"/>
              </w:rPr>
              <w:t xml:space="preserve">Hansen TW, </w:t>
            </w:r>
            <w:r>
              <w:rPr>
                <w:szCs w:val="20"/>
              </w:rPr>
              <w:t>et.al</w:t>
            </w:r>
            <w:r w:rsidRPr="009F0DAE">
              <w:rPr>
                <w:szCs w:val="20"/>
              </w:rPr>
              <w:t xml:space="preserve"> </w:t>
            </w:r>
            <w:r w:rsidRPr="009F0DAE">
              <w:rPr>
                <w:b/>
                <w:szCs w:val="20"/>
              </w:rPr>
              <w:t>Prognostic superiority of daytime ambulatory over conventional blood pressure in four populations: a meta-analysis of 7,030 individuals.</w:t>
            </w:r>
            <w:r w:rsidRPr="009F0DAE">
              <w:rPr>
                <w:szCs w:val="20"/>
              </w:rPr>
              <w:t xml:space="preserve"> </w:t>
            </w:r>
            <w:r w:rsidRPr="009F0DAE">
              <w:rPr>
                <w:i/>
                <w:iCs/>
                <w:szCs w:val="20"/>
              </w:rPr>
              <w:t xml:space="preserve">Journal of Hypertension. </w:t>
            </w:r>
            <w:r w:rsidRPr="009F0DAE">
              <w:rPr>
                <w:szCs w:val="20"/>
              </w:rPr>
              <w:t>2007; 25(8):1554-1564.</w:t>
            </w:r>
          </w:p>
        </w:tc>
        <w:tc>
          <w:tcPr>
            <w:tcW w:w="1215" w:type="pct"/>
          </w:tcPr>
          <w:p w:rsidR="001C58CC" w:rsidRPr="00E9144E" w:rsidRDefault="001C58CC" w:rsidP="00ED0B76">
            <w:pPr>
              <w:rPr>
                <w:szCs w:val="20"/>
              </w:rPr>
            </w:pPr>
            <w:r w:rsidRPr="009F0DAE">
              <w:rPr>
                <w:szCs w:val="20"/>
              </w:rPr>
              <w:t xml:space="preserve">Compared ABPM and clinic Blood Pressure for detection of CV </w:t>
            </w:r>
            <w:r>
              <w:rPr>
                <w:szCs w:val="20"/>
              </w:rPr>
              <w:t>death, cardiac</w:t>
            </w:r>
            <w:r w:rsidRPr="009F0DAE">
              <w:rPr>
                <w:szCs w:val="20"/>
              </w:rPr>
              <w:t xml:space="preserve"> events</w:t>
            </w:r>
            <w:r>
              <w:rPr>
                <w:szCs w:val="20"/>
              </w:rPr>
              <w:t>, stroke and CHD</w:t>
            </w:r>
            <w:r w:rsidRPr="009F0DAE">
              <w:rPr>
                <w:szCs w:val="20"/>
              </w:rPr>
              <w:t xml:space="preserve"> in </w:t>
            </w:r>
            <w:r>
              <w:rPr>
                <w:szCs w:val="20"/>
              </w:rPr>
              <w:t>7030</w:t>
            </w:r>
            <w:r w:rsidRPr="009F0DAE">
              <w:rPr>
                <w:szCs w:val="20"/>
              </w:rPr>
              <w:t xml:space="preserve"> patients </w:t>
            </w:r>
            <w:r>
              <w:rPr>
                <w:szCs w:val="20"/>
              </w:rPr>
              <w:t>with</w:t>
            </w:r>
            <w:r w:rsidRPr="009F0DAE">
              <w:rPr>
                <w:szCs w:val="20"/>
              </w:rPr>
              <w:t xml:space="preserve"> an average of </w:t>
            </w:r>
            <w:r>
              <w:rPr>
                <w:szCs w:val="20"/>
              </w:rPr>
              <w:t>9.5</w:t>
            </w:r>
            <w:r w:rsidRPr="009F0DAE">
              <w:rPr>
                <w:szCs w:val="20"/>
              </w:rPr>
              <w:t xml:space="preserve"> years</w:t>
            </w:r>
            <w:r>
              <w:rPr>
                <w:szCs w:val="20"/>
              </w:rPr>
              <w:t xml:space="preserve"> follow-up</w:t>
            </w:r>
            <w:r w:rsidRPr="009F0DAE">
              <w:rPr>
                <w:szCs w:val="20"/>
              </w:rPr>
              <w:t>. Found HR for</w:t>
            </w:r>
            <w:r>
              <w:rPr>
                <w:szCs w:val="20"/>
              </w:rPr>
              <w:t xml:space="preserve"> </w:t>
            </w:r>
            <w:r w:rsidRPr="009F0DAE">
              <w:rPr>
                <w:szCs w:val="20"/>
              </w:rPr>
              <w:t xml:space="preserve">Cardiac events ABPM (daytime): 1.13 (1.04, 1.23) p&lt;0.0001 </w:t>
            </w:r>
            <w:r>
              <w:rPr>
                <w:szCs w:val="20"/>
              </w:rPr>
              <w:t>vs.</w:t>
            </w:r>
            <w:r w:rsidRPr="009F0DAE">
              <w:rPr>
                <w:szCs w:val="20"/>
              </w:rPr>
              <w:t xml:space="preserve">Cardiac events Clinic: 1.06 (0.99, 1.13) p&gt;0.05 </w:t>
            </w:r>
            <w:r>
              <w:rPr>
                <w:szCs w:val="20"/>
              </w:rPr>
              <w:t>per 10mmHg rise in SBP.</w:t>
            </w:r>
            <w:r w:rsidRPr="009F0DAE">
              <w:rPr>
                <w:rFonts w:ascii="Arial" w:hAnsi="Arial" w:cs="Arial"/>
                <w:color w:val="000000"/>
                <w:szCs w:val="20"/>
                <w:shd w:val="clear" w:color="auto" w:fill="FFFFFF"/>
              </w:rPr>
              <w:t xml:space="preserve"> </w:t>
            </w:r>
            <w:r>
              <w:rPr>
                <w:rFonts w:ascii="Arial" w:hAnsi="Arial" w:cs="Arial"/>
                <w:color w:val="000000"/>
                <w:szCs w:val="20"/>
                <w:shd w:val="clear" w:color="auto" w:fill="FFFFFF"/>
              </w:rPr>
              <w:t>“</w:t>
            </w:r>
            <w:r w:rsidRPr="009F0DAE">
              <w:rPr>
                <w:szCs w:val="20"/>
              </w:rPr>
              <w:t>ABP is superior to CBP in predicting cardiovascular events, but not total and non</w:t>
            </w:r>
            <w:r>
              <w:rPr>
                <w:szCs w:val="20"/>
              </w:rPr>
              <w:t>-</w:t>
            </w:r>
            <w:r w:rsidRPr="009F0DAE">
              <w:rPr>
                <w:szCs w:val="20"/>
              </w:rPr>
              <w:t>cardiovascular mortality</w:t>
            </w:r>
            <w:r>
              <w:rPr>
                <w:szCs w:val="20"/>
              </w:rPr>
              <w:t>“.</w:t>
            </w:r>
          </w:p>
        </w:tc>
        <w:tc>
          <w:tcPr>
            <w:tcW w:w="966" w:type="pct"/>
          </w:tcPr>
          <w:p w:rsidR="001C58CC" w:rsidRPr="00E9144E" w:rsidRDefault="00DD4A3B" w:rsidP="00ED0B76">
            <w:pPr>
              <w:rPr>
                <w:szCs w:val="20"/>
              </w:rPr>
            </w:pPr>
            <w:hyperlink r:id="rId16" w:tooltip="Link to US National Library of Medicine " w:history="1">
              <w:r w:rsidR="001C58CC" w:rsidRPr="00261606">
                <w:rPr>
                  <w:rStyle w:val="Hyperlink"/>
                  <w:szCs w:val="20"/>
                </w:rPr>
                <w:t>https://www.ncbi.nlm.nih.gov/pubmed/17620947</w:t>
              </w:r>
            </w:hyperlink>
            <w:r w:rsidR="001C58CC">
              <w:rPr>
                <w:szCs w:val="20"/>
              </w:rPr>
              <w:t xml:space="preserve"> </w:t>
            </w:r>
          </w:p>
        </w:tc>
        <w:tc>
          <w:tcPr>
            <w:tcW w:w="834" w:type="pct"/>
          </w:tcPr>
          <w:p w:rsidR="001C58CC" w:rsidRPr="00E9144E" w:rsidRDefault="001C58CC" w:rsidP="00ED0B76">
            <w:pPr>
              <w:rPr>
                <w:szCs w:val="20"/>
              </w:rPr>
            </w:pPr>
            <w:r>
              <w:rPr>
                <w:szCs w:val="20"/>
              </w:rPr>
              <w:t>2007</w:t>
            </w:r>
          </w:p>
        </w:tc>
      </w:tr>
      <w:tr w:rsidR="001C58CC" w:rsidTr="001C58CC">
        <w:trPr>
          <w:cantSplit/>
        </w:trPr>
        <w:tc>
          <w:tcPr>
            <w:tcW w:w="232" w:type="pct"/>
          </w:tcPr>
          <w:p w:rsidR="001C58CC" w:rsidRDefault="00D0646E" w:rsidP="00ED0B76">
            <w:pPr>
              <w:rPr>
                <w:szCs w:val="20"/>
              </w:rPr>
            </w:pPr>
            <w:r>
              <w:rPr>
                <w:szCs w:val="20"/>
              </w:rPr>
              <w:t>8.</w:t>
            </w:r>
          </w:p>
        </w:tc>
        <w:tc>
          <w:tcPr>
            <w:tcW w:w="768" w:type="pct"/>
          </w:tcPr>
          <w:p w:rsidR="001C58CC" w:rsidRPr="009E4341" w:rsidRDefault="001C58CC" w:rsidP="00ED0B76">
            <w:pPr>
              <w:rPr>
                <w:szCs w:val="20"/>
              </w:rPr>
            </w:pPr>
            <w:r>
              <w:rPr>
                <w:szCs w:val="20"/>
              </w:rPr>
              <w:t>Observational</w:t>
            </w:r>
          </w:p>
        </w:tc>
        <w:tc>
          <w:tcPr>
            <w:tcW w:w="985" w:type="pct"/>
          </w:tcPr>
          <w:p w:rsidR="001C58CC" w:rsidRPr="009E4341" w:rsidRDefault="001C58CC" w:rsidP="00ED0B76">
            <w:pPr>
              <w:rPr>
                <w:szCs w:val="20"/>
              </w:rPr>
            </w:pPr>
            <w:r w:rsidRPr="009F0DAE">
              <w:rPr>
                <w:szCs w:val="20"/>
              </w:rPr>
              <w:t xml:space="preserve">Ingelsson E, </w:t>
            </w:r>
            <w:r>
              <w:rPr>
                <w:szCs w:val="20"/>
              </w:rPr>
              <w:t xml:space="preserve">et.al </w:t>
            </w:r>
            <w:r w:rsidRPr="00B83E85">
              <w:rPr>
                <w:b/>
                <w:szCs w:val="20"/>
              </w:rPr>
              <w:t>Diurnal blood pressure pattern and risk of congestive heart failure.</w:t>
            </w:r>
            <w:r w:rsidRPr="009F0DAE">
              <w:rPr>
                <w:szCs w:val="20"/>
              </w:rPr>
              <w:t xml:space="preserve"> </w:t>
            </w:r>
            <w:r w:rsidRPr="009F0DAE">
              <w:rPr>
                <w:i/>
                <w:iCs/>
                <w:szCs w:val="20"/>
              </w:rPr>
              <w:t xml:space="preserve">JAMA. </w:t>
            </w:r>
            <w:r w:rsidRPr="009F0DAE">
              <w:rPr>
                <w:szCs w:val="20"/>
              </w:rPr>
              <w:t xml:space="preserve">2006; 295(24):2859-2866. </w:t>
            </w:r>
          </w:p>
        </w:tc>
        <w:tc>
          <w:tcPr>
            <w:tcW w:w="1215" w:type="pct"/>
          </w:tcPr>
          <w:tbl>
            <w:tblPr>
              <w:tblW w:w="3631" w:type="dxa"/>
              <w:tblBorders>
                <w:top w:val="nil"/>
                <w:left w:val="nil"/>
                <w:bottom w:val="nil"/>
                <w:right w:val="nil"/>
              </w:tblBorders>
              <w:tblLayout w:type="fixed"/>
              <w:tblLook w:val="0000" w:firstRow="0" w:lastRow="0" w:firstColumn="0" w:lastColumn="0" w:noHBand="0" w:noVBand="0"/>
            </w:tblPr>
            <w:tblGrid>
              <w:gridCol w:w="3631"/>
            </w:tblGrid>
            <w:tr w:rsidR="001C58CC" w:rsidRPr="00B83E85" w:rsidTr="00ED0B76">
              <w:trPr>
                <w:trHeight w:val="496"/>
              </w:trPr>
              <w:tc>
                <w:tcPr>
                  <w:tcW w:w="3631" w:type="dxa"/>
                </w:tcPr>
                <w:p w:rsidR="001C58CC" w:rsidRPr="00B83E85" w:rsidRDefault="001C58CC" w:rsidP="00ED0B76">
                  <w:pPr>
                    <w:ind w:left="-88" w:right="242"/>
                    <w:rPr>
                      <w:szCs w:val="20"/>
                    </w:rPr>
                  </w:pPr>
                  <w:r w:rsidRPr="00B83E85">
                    <w:rPr>
                      <w:szCs w:val="20"/>
                    </w:rPr>
                    <w:t xml:space="preserve">Compared ABPM and clinic Blood Pressure for detection of </w:t>
                  </w:r>
                  <w:r>
                    <w:rPr>
                      <w:szCs w:val="20"/>
                    </w:rPr>
                    <w:t>CHF</w:t>
                  </w:r>
                  <w:r w:rsidRPr="00B83E85">
                    <w:rPr>
                      <w:szCs w:val="20"/>
                    </w:rPr>
                    <w:t xml:space="preserve"> in </w:t>
                  </w:r>
                  <w:r>
                    <w:rPr>
                      <w:szCs w:val="20"/>
                    </w:rPr>
                    <w:t>951</w:t>
                  </w:r>
                  <w:r w:rsidRPr="00B83E85">
                    <w:rPr>
                      <w:szCs w:val="20"/>
                    </w:rPr>
                    <w:t xml:space="preserve"> patients with an average of 9.</w:t>
                  </w:r>
                  <w:r>
                    <w:rPr>
                      <w:szCs w:val="20"/>
                    </w:rPr>
                    <w:t>1</w:t>
                  </w:r>
                  <w:r w:rsidRPr="00B83E85">
                    <w:rPr>
                      <w:szCs w:val="20"/>
                    </w:rPr>
                    <w:t xml:space="preserve"> years follow-up. Found HR for</w:t>
                  </w:r>
                  <w:r>
                    <w:rPr>
                      <w:szCs w:val="20"/>
                    </w:rPr>
                    <w:t xml:space="preserve"> </w:t>
                  </w:r>
                  <w:r w:rsidRPr="00B83E85">
                    <w:rPr>
                      <w:szCs w:val="20"/>
                    </w:rPr>
                    <w:t>ABPM (24h): 1.13 (0.91, 1.40) p&gt;0.05</w:t>
                  </w:r>
                  <w:r>
                    <w:rPr>
                      <w:szCs w:val="20"/>
                    </w:rPr>
                    <w:t>,</w:t>
                  </w:r>
                  <w:r w:rsidRPr="00B83E85">
                    <w:rPr>
                      <w:szCs w:val="20"/>
                    </w:rPr>
                    <w:t xml:space="preserve"> ABPM (night-time): 1.21 (0.98, 1.49) p&gt;0.05</w:t>
                  </w:r>
                  <w:r>
                    <w:rPr>
                      <w:szCs w:val="20"/>
                    </w:rPr>
                    <w:t xml:space="preserve"> vs </w:t>
                  </w:r>
                  <w:r w:rsidRPr="00B83E85">
                    <w:rPr>
                      <w:szCs w:val="20"/>
                    </w:rPr>
                    <w:t>Clinic: 1.25 (0.98, 1.59) p&gt;0.05</w:t>
                  </w:r>
                  <w:r>
                    <w:rPr>
                      <w:szCs w:val="20"/>
                    </w:rPr>
                    <w:t xml:space="preserve"> </w:t>
                  </w:r>
                  <w:r w:rsidRPr="00B83E85">
                    <w:rPr>
                      <w:szCs w:val="20"/>
                    </w:rPr>
                    <w:t>per 1</w:t>
                  </w:r>
                  <w:r>
                    <w:rPr>
                      <w:szCs w:val="20"/>
                    </w:rPr>
                    <w:t xml:space="preserve"> </w:t>
                  </w:r>
                  <w:r w:rsidRPr="00B83E85">
                    <w:rPr>
                      <w:szCs w:val="20"/>
                    </w:rPr>
                    <w:t xml:space="preserve">SD rise in SBP </w:t>
                  </w:r>
                </w:p>
              </w:tc>
            </w:tr>
          </w:tbl>
          <w:p w:rsidR="001C58CC" w:rsidRPr="009E4341" w:rsidRDefault="001C58CC" w:rsidP="00ED0B76">
            <w:pPr>
              <w:rPr>
                <w:szCs w:val="20"/>
              </w:rPr>
            </w:pPr>
          </w:p>
        </w:tc>
        <w:tc>
          <w:tcPr>
            <w:tcW w:w="966" w:type="pct"/>
          </w:tcPr>
          <w:p w:rsidR="001C58CC" w:rsidRPr="009E4341" w:rsidRDefault="00DD4A3B" w:rsidP="00ED0B76">
            <w:pPr>
              <w:rPr>
                <w:szCs w:val="20"/>
              </w:rPr>
            </w:pPr>
            <w:hyperlink r:id="rId17" w:tooltip="Link to US National Library of Medicine " w:history="1">
              <w:r w:rsidR="001C58CC" w:rsidRPr="00261606">
                <w:rPr>
                  <w:rStyle w:val="Hyperlink"/>
                  <w:szCs w:val="20"/>
                </w:rPr>
                <w:t>https://www.ncbi.nlm.nih.gov/pubmed/16804152</w:t>
              </w:r>
            </w:hyperlink>
            <w:r w:rsidR="001C58CC">
              <w:rPr>
                <w:szCs w:val="20"/>
              </w:rPr>
              <w:t xml:space="preserve"> </w:t>
            </w:r>
          </w:p>
        </w:tc>
        <w:tc>
          <w:tcPr>
            <w:tcW w:w="834" w:type="pct"/>
          </w:tcPr>
          <w:p w:rsidR="001C58CC" w:rsidRPr="009E4341" w:rsidRDefault="001C58CC" w:rsidP="00ED0B76">
            <w:pPr>
              <w:rPr>
                <w:szCs w:val="20"/>
              </w:rPr>
            </w:pPr>
            <w:r>
              <w:rPr>
                <w:szCs w:val="20"/>
              </w:rPr>
              <w:t>2006</w:t>
            </w:r>
          </w:p>
        </w:tc>
      </w:tr>
      <w:tr w:rsidR="001C58CC" w:rsidTr="001C58CC">
        <w:trPr>
          <w:cantSplit/>
        </w:trPr>
        <w:tc>
          <w:tcPr>
            <w:tcW w:w="232" w:type="pct"/>
          </w:tcPr>
          <w:p w:rsidR="001C58CC" w:rsidRDefault="00D0646E" w:rsidP="00ED0B76">
            <w:pPr>
              <w:rPr>
                <w:szCs w:val="20"/>
              </w:rPr>
            </w:pPr>
            <w:r>
              <w:rPr>
                <w:szCs w:val="20"/>
              </w:rPr>
              <w:lastRenderedPageBreak/>
              <w:t>9.</w:t>
            </w:r>
          </w:p>
        </w:tc>
        <w:tc>
          <w:tcPr>
            <w:tcW w:w="768" w:type="pct"/>
          </w:tcPr>
          <w:p w:rsidR="001C58CC" w:rsidRPr="009E4341" w:rsidRDefault="001C58CC" w:rsidP="00ED0B76">
            <w:pPr>
              <w:rPr>
                <w:szCs w:val="20"/>
              </w:rPr>
            </w:pPr>
            <w:r>
              <w:rPr>
                <w:szCs w:val="20"/>
              </w:rPr>
              <w:t>Observational, prospective.</w:t>
            </w:r>
          </w:p>
        </w:tc>
        <w:tc>
          <w:tcPr>
            <w:tcW w:w="985" w:type="pct"/>
          </w:tcPr>
          <w:p w:rsidR="001C58CC" w:rsidRPr="009E4341" w:rsidRDefault="001C58CC" w:rsidP="00ED0B76">
            <w:pPr>
              <w:rPr>
                <w:szCs w:val="20"/>
              </w:rPr>
            </w:pPr>
            <w:r w:rsidRPr="00077206">
              <w:rPr>
                <w:szCs w:val="20"/>
              </w:rPr>
              <w:t xml:space="preserve">Kikuya M, </w:t>
            </w:r>
            <w:r>
              <w:rPr>
                <w:szCs w:val="20"/>
              </w:rPr>
              <w:t>et.al</w:t>
            </w:r>
            <w:r w:rsidRPr="00077206">
              <w:rPr>
                <w:szCs w:val="20"/>
              </w:rPr>
              <w:t xml:space="preserve"> </w:t>
            </w:r>
            <w:r w:rsidRPr="00077206">
              <w:rPr>
                <w:b/>
                <w:szCs w:val="20"/>
              </w:rPr>
              <w:t>International Database on Ambulatory Blood Pressure Monitoring in relation to Cardiovascular Outcomes Investigators. Diagnostic thresholds for ambulatory blood pressure monitoring based on 10-year cardiovascular risk</w:t>
            </w:r>
            <w:r w:rsidRPr="00077206">
              <w:rPr>
                <w:szCs w:val="20"/>
              </w:rPr>
              <w:t xml:space="preserve">. </w:t>
            </w:r>
            <w:r w:rsidRPr="00077206">
              <w:rPr>
                <w:i/>
                <w:iCs/>
                <w:szCs w:val="20"/>
              </w:rPr>
              <w:t xml:space="preserve">Circulation. </w:t>
            </w:r>
            <w:r w:rsidRPr="00077206">
              <w:rPr>
                <w:szCs w:val="20"/>
              </w:rPr>
              <w:t>2007; 115(16):2145-2152.</w:t>
            </w:r>
          </w:p>
        </w:tc>
        <w:tc>
          <w:tcPr>
            <w:tcW w:w="1215" w:type="pct"/>
          </w:tcPr>
          <w:p w:rsidR="001C58CC" w:rsidRPr="009E4341" w:rsidRDefault="001C58CC" w:rsidP="00ED0B76">
            <w:pPr>
              <w:rPr>
                <w:szCs w:val="20"/>
              </w:rPr>
            </w:pPr>
            <w:r w:rsidRPr="00077206">
              <w:rPr>
                <w:szCs w:val="20"/>
              </w:rPr>
              <w:t xml:space="preserve">Compared ABPM and clinic Blood Pressure for detection of CV death, cardiac events, stroke and CHD in </w:t>
            </w:r>
            <w:r>
              <w:rPr>
                <w:szCs w:val="20"/>
              </w:rPr>
              <w:t>5682</w:t>
            </w:r>
            <w:r w:rsidRPr="00077206">
              <w:rPr>
                <w:szCs w:val="20"/>
              </w:rPr>
              <w:t xml:space="preserve"> patients with an average of 9.5 years follow-up. Found </w:t>
            </w:r>
            <w:r>
              <w:rPr>
                <w:szCs w:val="20"/>
              </w:rPr>
              <w:t>no difference between ABPM and clinic BP.</w:t>
            </w:r>
          </w:p>
        </w:tc>
        <w:tc>
          <w:tcPr>
            <w:tcW w:w="966" w:type="pct"/>
          </w:tcPr>
          <w:p w:rsidR="001C58CC" w:rsidRPr="009E4341" w:rsidRDefault="00DD4A3B" w:rsidP="00ED0B76">
            <w:pPr>
              <w:rPr>
                <w:szCs w:val="20"/>
              </w:rPr>
            </w:pPr>
            <w:hyperlink r:id="rId18" w:tooltip="Link to US National Library of Medicine " w:history="1">
              <w:r w:rsidR="001C58CC" w:rsidRPr="00261606">
                <w:rPr>
                  <w:rStyle w:val="Hyperlink"/>
                  <w:szCs w:val="20"/>
                </w:rPr>
                <w:t>https://www.ncbi.nlm.nih.gov/pubmed/17420350</w:t>
              </w:r>
            </w:hyperlink>
            <w:r w:rsidR="001C58CC">
              <w:rPr>
                <w:szCs w:val="20"/>
              </w:rPr>
              <w:t xml:space="preserve"> </w:t>
            </w:r>
          </w:p>
        </w:tc>
        <w:tc>
          <w:tcPr>
            <w:tcW w:w="834" w:type="pct"/>
          </w:tcPr>
          <w:p w:rsidR="001C58CC" w:rsidRPr="009E4341" w:rsidRDefault="001C58CC" w:rsidP="00ED0B76">
            <w:pPr>
              <w:rPr>
                <w:szCs w:val="20"/>
              </w:rPr>
            </w:pPr>
            <w:r>
              <w:rPr>
                <w:szCs w:val="20"/>
              </w:rPr>
              <w:t>2007</w:t>
            </w:r>
          </w:p>
        </w:tc>
      </w:tr>
      <w:tr w:rsidR="001C58CC" w:rsidTr="001C58CC">
        <w:trPr>
          <w:cantSplit/>
        </w:trPr>
        <w:tc>
          <w:tcPr>
            <w:tcW w:w="232" w:type="pct"/>
          </w:tcPr>
          <w:p w:rsidR="001C58CC" w:rsidRDefault="00D0646E" w:rsidP="00ED0B76">
            <w:pPr>
              <w:rPr>
                <w:szCs w:val="20"/>
              </w:rPr>
            </w:pPr>
            <w:r>
              <w:rPr>
                <w:szCs w:val="20"/>
              </w:rPr>
              <w:t>10.</w:t>
            </w:r>
          </w:p>
        </w:tc>
        <w:tc>
          <w:tcPr>
            <w:tcW w:w="768" w:type="pct"/>
          </w:tcPr>
          <w:p w:rsidR="001C58CC" w:rsidRPr="009E4341" w:rsidRDefault="001C58CC" w:rsidP="00ED0B76">
            <w:pPr>
              <w:rPr>
                <w:szCs w:val="20"/>
              </w:rPr>
            </w:pPr>
            <w:r>
              <w:rPr>
                <w:szCs w:val="20"/>
              </w:rPr>
              <w:t>Observational, prospective.</w:t>
            </w:r>
          </w:p>
        </w:tc>
        <w:tc>
          <w:tcPr>
            <w:tcW w:w="985" w:type="pct"/>
          </w:tcPr>
          <w:p w:rsidR="001C58CC" w:rsidRPr="009E4341" w:rsidRDefault="001C58CC" w:rsidP="00ED0B76">
            <w:pPr>
              <w:rPr>
                <w:szCs w:val="20"/>
              </w:rPr>
            </w:pPr>
            <w:r w:rsidRPr="007A310E">
              <w:rPr>
                <w:szCs w:val="20"/>
              </w:rPr>
              <w:t xml:space="preserve">Mesquita-Bastos J, </w:t>
            </w:r>
            <w:r>
              <w:rPr>
                <w:szCs w:val="20"/>
              </w:rPr>
              <w:t>et.al</w:t>
            </w:r>
            <w:r w:rsidRPr="007A310E">
              <w:rPr>
                <w:szCs w:val="20"/>
              </w:rPr>
              <w:t xml:space="preserve"> </w:t>
            </w:r>
            <w:r w:rsidRPr="007A310E">
              <w:rPr>
                <w:b/>
                <w:szCs w:val="20"/>
              </w:rPr>
              <w:t>Cardiovascular prognostic value of ambulatory blood pressure monitoring in a Portuguese hypertensive population followed up for 8.2 years.</w:t>
            </w:r>
            <w:r w:rsidRPr="007A310E">
              <w:rPr>
                <w:szCs w:val="20"/>
              </w:rPr>
              <w:t xml:space="preserve"> </w:t>
            </w:r>
            <w:r w:rsidRPr="007A310E">
              <w:rPr>
                <w:i/>
                <w:iCs/>
                <w:szCs w:val="20"/>
              </w:rPr>
              <w:t xml:space="preserve">Blood Pressure Monitoring. </w:t>
            </w:r>
            <w:r w:rsidRPr="007A310E">
              <w:rPr>
                <w:szCs w:val="20"/>
              </w:rPr>
              <w:t>2010; 15(5):240-246</w:t>
            </w:r>
          </w:p>
        </w:tc>
        <w:tc>
          <w:tcPr>
            <w:tcW w:w="1215" w:type="pct"/>
          </w:tcPr>
          <w:p w:rsidR="001C58CC" w:rsidRPr="009E4341" w:rsidRDefault="001C58CC" w:rsidP="00ED0B76">
            <w:pPr>
              <w:rPr>
                <w:szCs w:val="20"/>
              </w:rPr>
            </w:pPr>
            <w:r w:rsidRPr="00077206">
              <w:rPr>
                <w:szCs w:val="20"/>
              </w:rPr>
              <w:t>Compared ABPM and clinic Blood Pressure for detection of cardiac events</w:t>
            </w:r>
            <w:r>
              <w:rPr>
                <w:szCs w:val="20"/>
              </w:rPr>
              <w:t xml:space="preserve"> and</w:t>
            </w:r>
            <w:r w:rsidRPr="00077206">
              <w:rPr>
                <w:szCs w:val="20"/>
              </w:rPr>
              <w:t xml:space="preserve"> stroke in </w:t>
            </w:r>
            <w:r>
              <w:rPr>
                <w:szCs w:val="20"/>
              </w:rPr>
              <w:t>1200</w:t>
            </w:r>
            <w:r w:rsidRPr="00077206">
              <w:rPr>
                <w:szCs w:val="20"/>
              </w:rPr>
              <w:t xml:space="preserve"> patients with an average of </w:t>
            </w:r>
            <w:r>
              <w:rPr>
                <w:szCs w:val="20"/>
              </w:rPr>
              <w:t>8.2</w:t>
            </w:r>
            <w:r w:rsidRPr="00077206">
              <w:rPr>
                <w:szCs w:val="20"/>
              </w:rPr>
              <w:t xml:space="preserve"> years follow-up. Found</w:t>
            </w:r>
            <w:r>
              <w:rPr>
                <w:szCs w:val="20"/>
              </w:rPr>
              <w:t xml:space="preserve"> ABPM (24h): 1.41 (1.20-1.65) &lt;0.001, ABPM (daytime): 1.33 (1.10-1.60) &lt;0.01 and </w:t>
            </w:r>
            <w:r w:rsidRPr="007519DD">
              <w:rPr>
                <w:szCs w:val="20"/>
              </w:rPr>
              <w:t xml:space="preserve">ABPM (night-time): 1.57 (1.32-1.86) p&lt;0.001 </w:t>
            </w:r>
            <w:r>
              <w:rPr>
                <w:szCs w:val="20"/>
              </w:rPr>
              <w:t>p</w:t>
            </w:r>
            <w:r w:rsidRPr="007519DD">
              <w:rPr>
                <w:szCs w:val="20"/>
              </w:rPr>
              <w:t>er 1</w:t>
            </w:r>
            <w:r>
              <w:rPr>
                <w:szCs w:val="20"/>
              </w:rPr>
              <w:t xml:space="preserve"> </w:t>
            </w:r>
            <w:r w:rsidRPr="007519DD">
              <w:rPr>
                <w:szCs w:val="20"/>
              </w:rPr>
              <w:t>SD rise in SBP</w:t>
            </w:r>
            <w:r>
              <w:rPr>
                <w:szCs w:val="20"/>
              </w:rPr>
              <w:t>. “</w:t>
            </w:r>
            <w:r w:rsidRPr="00544A12">
              <w:rPr>
                <w:szCs w:val="20"/>
              </w:rPr>
              <w:t>In predicting CV events and stroke, ABP is superior to office BP</w:t>
            </w:r>
            <w:r>
              <w:rPr>
                <w:szCs w:val="20"/>
              </w:rPr>
              <w:t>”</w:t>
            </w:r>
          </w:p>
        </w:tc>
        <w:tc>
          <w:tcPr>
            <w:tcW w:w="966" w:type="pct"/>
          </w:tcPr>
          <w:p w:rsidR="001C58CC" w:rsidRPr="009E4341" w:rsidRDefault="00DD4A3B" w:rsidP="00ED0B76">
            <w:pPr>
              <w:rPr>
                <w:szCs w:val="20"/>
              </w:rPr>
            </w:pPr>
            <w:hyperlink r:id="rId19" w:tooltip="Link to US National Library of Medicine " w:history="1">
              <w:r w:rsidR="001C58CC" w:rsidRPr="00261606">
                <w:rPr>
                  <w:rStyle w:val="Hyperlink"/>
                  <w:szCs w:val="20"/>
                </w:rPr>
                <w:t>https://www.ncbi.nlm.nih.gov/pubmed/20616705</w:t>
              </w:r>
            </w:hyperlink>
            <w:r w:rsidR="001C58CC">
              <w:rPr>
                <w:szCs w:val="20"/>
              </w:rPr>
              <w:t xml:space="preserve"> </w:t>
            </w:r>
          </w:p>
        </w:tc>
        <w:tc>
          <w:tcPr>
            <w:tcW w:w="834" w:type="pct"/>
          </w:tcPr>
          <w:p w:rsidR="001C58CC" w:rsidRPr="009E4341" w:rsidRDefault="001C58CC" w:rsidP="00ED0B76">
            <w:pPr>
              <w:rPr>
                <w:szCs w:val="20"/>
              </w:rPr>
            </w:pPr>
            <w:r>
              <w:rPr>
                <w:szCs w:val="20"/>
              </w:rPr>
              <w:t>2010</w:t>
            </w:r>
          </w:p>
        </w:tc>
      </w:tr>
      <w:tr w:rsidR="001C58CC" w:rsidTr="001C58CC">
        <w:trPr>
          <w:cantSplit/>
        </w:trPr>
        <w:tc>
          <w:tcPr>
            <w:tcW w:w="232" w:type="pct"/>
          </w:tcPr>
          <w:p w:rsidR="001C58CC" w:rsidRDefault="001C58CC" w:rsidP="00ED0B76">
            <w:pPr>
              <w:rPr>
                <w:szCs w:val="20"/>
              </w:rPr>
            </w:pPr>
          </w:p>
        </w:tc>
        <w:tc>
          <w:tcPr>
            <w:tcW w:w="768" w:type="pct"/>
          </w:tcPr>
          <w:p w:rsidR="001C58CC" w:rsidRPr="009E4341" w:rsidRDefault="001C58CC" w:rsidP="00ED0B76">
            <w:pPr>
              <w:rPr>
                <w:szCs w:val="20"/>
              </w:rPr>
            </w:pPr>
            <w:r>
              <w:rPr>
                <w:b/>
                <w:szCs w:val="20"/>
              </w:rPr>
              <w:t>Home vs. clinic  BP</w:t>
            </w:r>
          </w:p>
        </w:tc>
        <w:tc>
          <w:tcPr>
            <w:tcW w:w="985" w:type="pct"/>
          </w:tcPr>
          <w:p w:rsidR="001C58CC" w:rsidRPr="009E4341" w:rsidRDefault="001C58CC" w:rsidP="00ED0B76">
            <w:pPr>
              <w:rPr>
                <w:szCs w:val="20"/>
              </w:rPr>
            </w:pPr>
          </w:p>
        </w:tc>
        <w:tc>
          <w:tcPr>
            <w:tcW w:w="1215" w:type="pct"/>
          </w:tcPr>
          <w:p w:rsidR="001C58CC" w:rsidRPr="009E4341" w:rsidRDefault="001C58CC" w:rsidP="00ED0B76">
            <w:pPr>
              <w:rPr>
                <w:szCs w:val="20"/>
              </w:rPr>
            </w:pPr>
          </w:p>
        </w:tc>
        <w:tc>
          <w:tcPr>
            <w:tcW w:w="966" w:type="pct"/>
          </w:tcPr>
          <w:p w:rsidR="001C58CC" w:rsidRPr="009E4341" w:rsidRDefault="001C58CC" w:rsidP="00ED0B76">
            <w:pPr>
              <w:rPr>
                <w:szCs w:val="20"/>
              </w:rPr>
            </w:pPr>
          </w:p>
        </w:tc>
        <w:tc>
          <w:tcPr>
            <w:tcW w:w="834" w:type="pct"/>
          </w:tcPr>
          <w:p w:rsidR="001C58CC" w:rsidRPr="009E4341" w:rsidRDefault="001C58CC" w:rsidP="00ED0B76">
            <w:pPr>
              <w:rPr>
                <w:szCs w:val="20"/>
              </w:rPr>
            </w:pPr>
          </w:p>
        </w:tc>
      </w:tr>
      <w:tr w:rsidR="001C58CC" w:rsidTr="001C58CC">
        <w:trPr>
          <w:cantSplit/>
        </w:trPr>
        <w:tc>
          <w:tcPr>
            <w:tcW w:w="232" w:type="pct"/>
          </w:tcPr>
          <w:p w:rsidR="001C58CC" w:rsidRDefault="00D0646E" w:rsidP="00ED0B76">
            <w:pPr>
              <w:rPr>
                <w:szCs w:val="20"/>
              </w:rPr>
            </w:pPr>
            <w:r>
              <w:rPr>
                <w:szCs w:val="20"/>
              </w:rPr>
              <w:lastRenderedPageBreak/>
              <w:t>11</w:t>
            </w:r>
            <w:r w:rsidR="001C58CC">
              <w:rPr>
                <w:szCs w:val="20"/>
              </w:rPr>
              <w:t>.</w:t>
            </w:r>
          </w:p>
        </w:tc>
        <w:tc>
          <w:tcPr>
            <w:tcW w:w="768" w:type="pct"/>
          </w:tcPr>
          <w:p w:rsidR="001C58CC" w:rsidRPr="009E4341" w:rsidRDefault="001C58CC" w:rsidP="00ED0B76">
            <w:pPr>
              <w:rPr>
                <w:szCs w:val="20"/>
              </w:rPr>
            </w:pPr>
            <w:r w:rsidRPr="00E9144E">
              <w:rPr>
                <w:szCs w:val="20"/>
              </w:rPr>
              <w:t>Observational</w:t>
            </w:r>
          </w:p>
        </w:tc>
        <w:tc>
          <w:tcPr>
            <w:tcW w:w="985" w:type="pct"/>
          </w:tcPr>
          <w:p w:rsidR="001C58CC" w:rsidRPr="009E4341" w:rsidRDefault="001C58CC" w:rsidP="00ED0B76">
            <w:pPr>
              <w:rPr>
                <w:szCs w:val="20"/>
              </w:rPr>
            </w:pPr>
            <w:r w:rsidRPr="00E9144E">
              <w:rPr>
                <w:szCs w:val="23"/>
              </w:rPr>
              <w:t xml:space="preserve">Bobrie G, et.al. </w:t>
            </w:r>
            <w:r w:rsidRPr="00E9144E">
              <w:rPr>
                <w:b/>
                <w:szCs w:val="23"/>
              </w:rPr>
              <w:t>Cardiovascular prognosis of "masked hypertension" detected by blood pressure self-measurement in elderly treated hypertensive patients</w:t>
            </w:r>
            <w:r w:rsidRPr="00E9144E">
              <w:rPr>
                <w:szCs w:val="23"/>
              </w:rPr>
              <w:t xml:space="preserve">. </w:t>
            </w:r>
            <w:r w:rsidRPr="00E9144E">
              <w:rPr>
                <w:i/>
                <w:iCs/>
                <w:szCs w:val="23"/>
              </w:rPr>
              <w:t xml:space="preserve">JAMA. </w:t>
            </w:r>
            <w:r w:rsidRPr="00E9144E">
              <w:rPr>
                <w:szCs w:val="23"/>
              </w:rPr>
              <w:t>2004; 291(11):1342-1349</w:t>
            </w:r>
          </w:p>
        </w:tc>
        <w:tc>
          <w:tcPr>
            <w:tcW w:w="1215" w:type="pct"/>
          </w:tcPr>
          <w:p w:rsidR="001C58CC" w:rsidRPr="009E4341" w:rsidRDefault="001C58CC" w:rsidP="00ED0B76">
            <w:pPr>
              <w:rPr>
                <w:szCs w:val="20"/>
              </w:rPr>
            </w:pPr>
            <w:r w:rsidRPr="00E9144E">
              <w:rPr>
                <w:szCs w:val="20"/>
              </w:rPr>
              <w:t>Compared Home and clini</w:t>
            </w:r>
            <w:r>
              <w:rPr>
                <w:szCs w:val="20"/>
              </w:rPr>
              <w:t>c BP for detection of CV events in 4939 patients with 3.2 years average follow up.</w:t>
            </w:r>
            <w:r w:rsidRPr="00E9144E">
              <w:rPr>
                <w:szCs w:val="20"/>
              </w:rPr>
              <w:t xml:space="preserve"> </w:t>
            </w:r>
            <w:r>
              <w:rPr>
                <w:szCs w:val="20"/>
              </w:rPr>
              <w:t>F</w:t>
            </w:r>
            <w:r w:rsidRPr="00E9144E">
              <w:rPr>
                <w:szCs w:val="20"/>
              </w:rPr>
              <w:t xml:space="preserve">ound </w:t>
            </w:r>
            <w:r>
              <w:rPr>
                <w:szCs w:val="20"/>
              </w:rPr>
              <w:t xml:space="preserve">HR for </w:t>
            </w:r>
            <w:r w:rsidRPr="00E9144E">
              <w:rPr>
                <w:szCs w:val="20"/>
              </w:rPr>
              <w:t xml:space="preserve">Home: 1.02 (1.01, 1.02) p=&lt;0.001 </w:t>
            </w:r>
            <w:r>
              <w:rPr>
                <w:szCs w:val="20"/>
              </w:rPr>
              <w:t xml:space="preserve">and </w:t>
            </w:r>
            <w:r w:rsidRPr="00E9144E">
              <w:rPr>
                <w:szCs w:val="20"/>
              </w:rPr>
              <w:t xml:space="preserve">Clinic: 1.01 (1.00, 1.01) p=0.09 </w:t>
            </w:r>
            <w:r>
              <w:rPr>
                <w:szCs w:val="20"/>
              </w:rPr>
              <w:t>pe</w:t>
            </w:r>
            <w:r w:rsidRPr="00E9144E">
              <w:rPr>
                <w:szCs w:val="20"/>
              </w:rPr>
              <w:t>r 1mmHg rise in SBP</w:t>
            </w:r>
            <w:r>
              <w:rPr>
                <w:szCs w:val="20"/>
              </w:rPr>
              <w:t>, so home superior.</w:t>
            </w:r>
          </w:p>
        </w:tc>
        <w:tc>
          <w:tcPr>
            <w:tcW w:w="966" w:type="pct"/>
          </w:tcPr>
          <w:p w:rsidR="001C58CC" w:rsidRPr="009E4341" w:rsidRDefault="00DD4A3B" w:rsidP="00ED0B76">
            <w:pPr>
              <w:rPr>
                <w:szCs w:val="20"/>
              </w:rPr>
            </w:pPr>
            <w:hyperlink r:id="rId20" w:tooltip="Link to US National Library of Medicine " w:history="1">
              <w:r w:rsidR="001C58CC" w:rsidRPr="00261606">
                <w:rPr>
                  <w:rStyle w:val="Hyperlink"/>
                  <w:szCs w:val="20"/>
                </w:rPr>
                <w:t>https://www.ncbi.nlm.nih.gov/pubmed/15026401</w:t>
              </w:r>
            </w:hyperlink>
            <w:r w:rsidR="001C58CC">
              <w:rPr>
                <w:szCs w:val="20"/>
              </w:rPr>
              <w:t xml:space="preserve"> </w:t>
            </w:r>
          </w:p>
        </w:tc>
        <w:tc>
          <w:tcPr>
            <w:tcW w:w="834" w:type="pct"/>
          </w:tcPr>
          <w:p w:rsidR="001C58CC" w:rsidRPr="009E4341" w:rsidRDefault="001C58CC" w:rsidP="00ED0B76">
            <w:pPr>
              <w:rPr>
                <w:szCs w:val="20"/>
              </w:rPr>
            </w:pPr>
            <w:r>
              <w:t>2004</w:t>
            </w:r>
          </w:p>
        </w:tc>
      </w:tr>
      <w:tr w:rsidR="001C58CC" w:rsidTr="001C58CC">
        <w:trPr>
          <w:cantSplit/>
        </w:trPr>
        <w:tc>
          <w:tcPr>
            <w:tcW w:w="232" w:type="pct"/>
          </w:tcPr>
          <w:p w:rsidR="001C58CC" w:rsidRDefault="00D0646E" w:rsidP="00ED0B76">
            <w:pPr>
              <w:rPr>
                <w:szCs w:val="20"/>
              </w:rPr>
            </w:pPr>
            <w:r>
              <w:rPr>
                <w:szCs w:val="20"/>
              </w:rPr>
              <w:t>12.</w:t>
            </w:r>
          </w:p>
        </w:tc>
        <w:tc>
          <w:tcPr>
            <w:tcW w:w="768" w:type="pct"/>
          </w:tcPr>
          <w:p w:rsidR="001C58CC" w:rsidRPr="009E4341" w:rsidRDefault="001C58CC" w:rsidP="00ED0B76">
            <w:pPr>
              <w:rPr>
                <w:szCs w:val="20"/>
              </w:rPr>
            </w:pPr>
            <w:r w:rsidRPr="00E9144E">
              <w:rPr>
                <w:szCs w:val="20"/>
              </w:rPr>
              <w:t>Observational</w:t>
            </w:r>
          </w:p>
        </w:tc>
        <w:tc>
          <w:tcPr>
            <w:tcW w:w="985" w:type="pct"/>
          </w:tcPr>
          <w:p w:rsidR="001C58CC" w:rsidRPr="009E4341" w:rsidRDefault="001C58CC" w:rsidP="00ED0B76">
            <w:pPr>
              <w:rPr>
                <w:szCs w:val="20"/>
              </w:rPr>
            </w:pPr>
            <w:r w:rsidRPr="00E9144E">
              <w:rPr>
                <w:szCs w:val="23"/>
              </w:rPr>
              <w:t xml:space="preserve">Niiranen TJ, </w:t>
            </w:r>
            <w:r>
              <w:rPr>
                <w:szCs w:val="23"/>
              </w:rPr>
              <w:t>et.al</w:t>
            </w:r>
            <w:r w:rsidRPr="00E9144E">
              <w:rPr>
                <w:szCs w:val="23"/>
              </w:rPr>
              <w:t xml:space="preserve">. </w:t>
            </w:r>
            <w:r w:rsidRPr="00E9144E">
              <w:rPr>
                <w:b/>
                <w:szCs w:val="23"/>
              </w:rPr>
              <w:t>Home-measured blood pressure is a stronger predictor of cardiovascular risk than office blood pressure: the Finn-Home study.</w:t>
            </w:r>
            <w:r w:rsidRPr="00E9144E">
              <w:rPr>
                <w:szCs w:val="23"/>
              </w:rPr>
              <w:t xml:space="preserve"> </w:t>
            </w:r>
            <w:r w:rsidRPr="00E9144E">
              <w:rPr>
                <w:i/>
                <w:iCs/>
                <w:szCs w:val="23"/>
              </w:rPr>
              <w:t xml:space="preserve">Hypertension. </w:t>
            </w:r>
            <w:r w:rsidRPr="00E9144E">
              <w:rPr>
                <w:szCs w:val="23"/>
              </w:rPr>
              <w:t>2010; 55(6):1346-1351.</w:t>
            </w:r>
          </w:p>
        </w:tc>
        <w:tc>
          <w:tcPr>
            <w:tcW w:w="1215" w:type="pct"/>
          </w:tcPr>
          <w:tbl>
            <w:tblPr>
              <w:tblW w:w="3281" w:type="dxa"/>
              <w:tblBorders>
                <w:top w:val="nil"/>
                <w:left w:val="nil"/>
                <w:bottom w:val="nil"/>
                <w:right w:val="nil"/>
              </w:tblBorders>
              <w:tblLayout w:type="fixed"/>
              <w:tblLook w:val="0000" w:firstRow="0" w:lastRow="0" w:firstColumn="0" w:lastColumn="0" w:noHBand="0" w:noVBand="0"/>
            </w:tblPr>
            <w:tblGrid>
              <w:gridCol w:w="3281"/>
            </w:tblGrid>
            <w:tr w:rsidR="001C58CC" w:rsidRPr="00753638" w:rsidTr="001C58CC">
              <w:trPr>
                <w:trHeight w:val="360"/>
              </w:trPr>
              <w:tc>
                <w:tcPr>
                  <w:tcW w:w="3281" w:type="dxa"/>
                </w:tcPr>
                <w:p w:rsidR="001C58CC" w:rsidRPr="00753638" w:rsidRDefault="001C58CC" w:rsidP="001C58CC">
                  <w:pPr>
                    <w:ind w:left="-88"/>
                    <w:rPr>
                      <w:szCs w:val="20"/>
                    </w:rPr>
                  </w:pPr>
                  <w:r w:rsidRPr="00753638">
                    <w:rPr>
                      <w:szCs w:val="20"/>
                    </w:rPr>
                    <w:t xml:space="preserve">Compared Home and clinic BP for detection of mortality and CV events in 2081 patients followed up for an average 6.8 years. Found HR for Home: 1.22 (1.09, 1.37) p&lt;0.001 and HR for Clinic: 1.01 (0.92, 1.12) p=0.80 per 10mmHg rise in SBP, so home superior </w:t>
                  </w:r>
                </w:p>
              </w:tc>
            </w:tr>
          </w:tbl>
          <w:p w:rsidR="001C58CC" w:rsidRPr="009E4341" w:rsidRDefault="001C58CC" w:rsidP="00ED0B76">
            <w:pPr>
              <w:rPr>
                <w:szCs w:val="20"/>
              </w:rPr>
            </w:pPr>
          </w:p>
        </w:tc>
        <w:tc>
          <w:tcPr>
            <w:tcW w:w="966" w:type="pct"/>
          </w:tcPr>
          <w:p w:rsidR="001C58CC" w:rsidRPr="009E4341" w:rsidRDefault="00DD4A3B" w:rsidP="00ED0B76">
            <w:pPr>
              <w:rPr>
                <w:szCs w:val="20"/>
              </w:rPr>
            </w:pPr>
            <w:hyperlink r:id="rId21" w:tooltip="Link to US National Library of Medicine " w:history="1">
              <w:r w:rsidR="001C58CC" w:rsidRPr="00261606">
                <w:rPr>
                  <w:rStyle w:val="Hyperlink"/>
                  <w:szCs w:val="20"/>
                </w:rPr>
                <w:t>https://www.ncbi.nlm.nih.gov/pubmed/20385970</w:t>
              </w:r>
            </w:hyperlink>
            <w:r w:rsidR="001C58CC">
              <w:rPr>
                <w:szCs w:val="20"/>
              </w:rPr>
              <w:t xml:space="preserve"> </w:t>
            </w:r>
          </w:p>
        </w:tc>
        <w:tc>
          <w:tcPr>
            <w:tcW w:w="834" w:type="pct"/>
          </w:tcPr>
          <w:p w:rsidR="001C58CC" w:rsidRPr="009E4341" w:rsidRDefault="001C58CC" w:rsidP="00ED0B76">
            <w:pPr>
              <w:rPr>
                <w:szCs w:val="20"/>
              </w:rPr>
            </w:pPr>
            <w:r w:rsidRPr="00E9144E">
              <w:rPr>
                <w:szCs w:val="20"/>
              </w:rPr>
              <w:t>2010</w:t>
            </w:r>
          </w:p>
        </w:tc>
      </w:tr>
      <w:tr w:rsidR="001C58CC" w:rsidTr="001C58CC">
        <w:trPr>
          <w:cantSplit/>
        </w:trPr>
        <w:tc>
          <w:tcPr>
            <w:tcW w:w="232" w:type="pct"/>
          </w:tcPr>
          <w:p w:rsidR="001C58CC" w:rsidRDefault="00D0646E" w:rsidP="00ED0B76">
            <w:pPr>
              <w:rPr>
                <w:szCs w:val="20"/>
              </w:rPr>
            </w:pPr>
            <w:r>
              <w:rPr>
                <w:szCs w:val="20"/>
              </w:rPr>
              <w:t>13.</w:t>
            </w:r>
          </w:p>
        </w:tc>
        <w:tc>
          <w:tcPr>
            <w:tcW w:w="768" w:type="pct"/>
          </w:tcPr>
          <w:p w:rsidR="001C58CC" w:rsidRPr="009E4341" w:rsidRDefault="001C58CC" w:rsidP="00ED0B76">
            <w:pPr>
              <w:rPr>
                <w:szCs w:val="20"/>
              </w:rPr>
            </w:pPr>
            <w:r>
              <w:rPr>
                <w:szCs w:val="20"/>
              </w:rPr>
              <w:t>Observational</w:t>
            </w:r>
          </w:p>
        </w:tc>
        <w:tc>
          <w:tcPr>
            <w:tcW w:w="985" w:type="pct"/>
          </w:tcPr>
          <w:p w:rsidR="001C58CC" w:rsidRPr="009E4341" w:rsidRDefault="001C58CC" w:rsidP="00ED0B76">
            <w:pPr>
              <w:rPr>
                <w:szCs w:val="20"/>
              </w:rPr>
            </w:pPr>
            <w:r w:rsidRPr="00956AC9">
              <w:rPr>
                <w:szCs w:val="20"/>
              </w:rPr>
              <w:t xml:space="preserve">Stergiou GS, </w:t>
            </w:r>
            <w:r>
              <w:rPr>
                <w:szCs w:val="20"/>
              </w:rPr>
              <w:t>et.al</w:t>
            </w:r>
            <w:r w:rsidRPr="00956AC9">
              <w:rPr>
                <w:szCs w:val="20"/>
              </w:rPr>
              <w:t xml:space="preserve"> </w:t>
            </w:r>
            <w:r w:rsidRPr="00956AC9">
              <w:rPr>
                <w:b/>
                <w:szCs w:val="20"/>
              </w:rPr>
              <w:t>Cardiovascular risk prediction based on home blood pressure measurement: the Didima study.</w:t>
            </w:r>
            <w:r w:rsidRPr="00956AC9">
              <w:rPr>
                <w:szCs w:val="20"/>
              </w:rPr>
              <w:t xml:space="preserve"> </w:t>
            </w:r>
            <w:r w:rsidRPr="00956AC9">
              <w:rPr>
                <w:i/>
                <w:iCs/>
                <w:szCs w:val="20"/>
              </w:rPr>
              <w:t xml:space="preserve">Journal of Hypertension. </w:t>
            </w:r>
            <w:r w:rsidRPr="00956AC9">
              <w:rPr>
                <w:szCs w:val="20"/>
              </w:rPr>
              <w:t>2007; 25(8):1590-1596</w:t>
            </w:r>
          </w:p>
        </w:tc>
        <w:tc>
          <w:tcPr>
            <w:tcW w:w="1215" w:type="pct"/>
          </w:tcPr>
          <w:p w:rsidR="001C58CC" w:rsidRPr="009E4341" w:rsidRDefault="001C58CC" w:rsidP="00ED0B76">
            <w:pPr>
              <w:rPr>
                <w:szCs w:val="20"/>
              </w:rPr>
            </w:pPr>
            <w:r>
              <w:rPr>
                <w:szCs w:val="20"/>
              </w:rPr>
              <w:t>Compared home and clinic BP for detection of CV events in 665 patients with an average follow up of 8.2 years. Found NS difference between the 2 methods.</w:t>
            </w:r>
          </w:p>
        </w:tc>
        <w:tc>
          <w:tcPr>
            <w:tcW w:w="966" w:type="pct"/>
          </w:tcPr>
          <w:p w:rsidR="001C58CC" w:rsidRPr="009E4341" w:rsidRDefault="00DD4A3B" w:rsidP="00ED0B76">
            <w:pPr>
              <w:rPr>
                <w:szCs w:val="20"/>
              </w:rPr>
            </w:pPr>
            <w:hyperlink r:id="rId22" w:tooltip="Link to US National Library of Medicine " w:history="1">
              <w:r w:rsidR="001C58CC" w:rsidRPr="00261606">
                <w:rPr>
                  <w:rStyle w:val="Hyperlink"/>
                  <w:szCs w:val="20"/>
                </w:rPr>
                <w:t>https://www.ncbi.nlm.nih.gov/pubmed/17620954</w:t>
              </w:r>
            </w:hyperlink>
            <w:r w:rsidR="001C58CC">
              <w:rPr>
                <w:szCs w:val="20"/>
              </w:rPr>
              <w:t xml:space="preserve"> </w:t>
            </w:r>
          </w:p>
        </w:tc>
        <w:tc>
          <w:tcPr>
            <w:tcW w:w="834" w:type="pct"/>
          </w:tcPr>
          <w:p w:rsidR="001C58CC" w:rsidRPr="009E4341" w:rsidRDefault="001C58CC" w:rsidP="00ED0B76">
            <w:pPr>
              <w:rPr>
                <w:szCs w:val="20"/>
              </w:rPr>
            </w:pPr>
            <w:r>
              <w:rPr>
                <w:szCs w:val="20"/>
              </w:rPr>
              <w:t>2007</w:t>
            </w:r>
          </w:p>
        </w:tc>
      </w:tr>
      <w:tr w:rsidR="001C58CC" w:rsidTr="001C58CC">
        <w:trPr>
          <w:cantSplit/>
        </w:trPr>
        <w:tc>
          <w:tcPr>
            <w:tcW w:w="232" w:type="pct"/>
          </w:tcPr>
          <w:p w:rsidR="001C58CC" w:rsidRPr="00965B6B" w:rsidRDefault="001C58CC" w:rsidP="001C58CC">
            <w:pPr>
              <w:rPr>
                <w:szCs w:val="20"/>
              </w:rPr>
            </w:pPr>
          </w:p>
        </w:tc>
        <w:tc>
          <w:tcPr>
            <w:tcW w:w="768" w:type="pct"/>
          </w:tcPr>
          <w:p w:rsidR="001C58CC" w:rsidRDefault="001C58CC" w:rsidP="001C58CC">
            <w:pPr>
              <w:rPr>
                <w:b/>
                <w:szCs w:val="20"/>
              </w:rPr>
            </w:pPr>
            <w:r w:rsidRPr="00544A12">
              <w:rPr>
                <w:b/>
                <w:szCs w:val="20"/>
              </w:rPr>
              <w:t>Home vs. ABPM vs. Clinic Blood pressure</w:t>
            </w:r>
          </w:p>
        </w:tc>
        <w:tc>
          <w:tcPr>
            <w:tcW w:w="985" w:type="pct"/>
          </w:tcPr>
          <w:p w:rsidR="001C58CC" w:rsidRDefault="001C58CC" w:rsidP="001C58CC"/>
        </w:tc>
        <w:tc>
          <w:tcPr>
            <w:tcW w:w="1215" w:type="pct"/>
          </w:tcPr>
          <w:p w:rsidR="001C58CC" w:rsidRDefault="001C58CC" w:rsidP="001C58CC"/>
        </w:tc>
        <w:tc>
          <w:tcPr>
            <w:tcW w:w="966" w:type="pct"/>
          </w:tcPr>
          <w:p w:rsidR="001C58CC" w:rsidRDefault="001C58CC" w:rsidP="001C58CC"/>
        </w:tc>
        <w:tc>
          <w:tcPr>
            <w:tcW w:w="834" w:type="pct"/>
          </w:tcPr>
          <w:p w:rsidR="001C58CC" w:rsidRDefault="001C58CC" w:rsidP="001C58CC"/>
        </w:tc>
      </w:tr>
      <w:tr w:rsidR="001C58CC" w:rsidTr="001C58CC">
        <w:trPr>
          <w:cantSplit/>
        </w:trPr>
        <w:tc>
          <w:tcPr>
            <w:tcW w:w="232" w:type="pct"/>
          </w:tcPr>
          <w:p w:rsidR="001C58CC" w:rsidRPr="00965B6B" w:rsidRDefault="00D0646E" w:rsidP="001C58CC">
            <w:pPr>
              <w:rPr>
                <w:szCs w:val="20"/>
              </w:rPr>
            </w:pPr>
            <w:r>
              <w:rPr>
                <w:szCs w:val="20"/>
              </w:rPr>
              <w:lastRenderedPageBreak/>
              <w:t>14.</w:t>
            </w:r>
          </w:p>
        </w:tc>
        <w:tc>
          <w:tcPr>
            <w:tcW w:w="768" w:type="pct"/>
          </w:tcPr>
          <w:p w:rsidR="001C58CC" w:rsidRPr="00E9144E" w:rsidRDefault="001C58CC" w:rsidP="001C58CC">
            <w:pPr>
              <w:rPr>
                <w:szCs w:val="20"/>
              </w:rPr>
            </w:pPr>
            <w:r>
              <w:rPr>
                <w:szCs w:val="20"/>
              </w:rPr>
              <w:t>Observational</w:t>
            </w:r>
          </w:p>
        </w:tc>
        <w:tc>
          <w:tcPr>
            <w:tcW w:w="985" w:type="pct"/>
          </w:tcPr>
          <w:p w:rsidR="001C58CC" w:rsidRDefault="001C58CC" w:rsidP="001C58CC">
            <w:pPr>
              <w:rPr>
                <w:b/>
                <w:szCs w:val="20"/>
              </w:rPr>
            </w:pPr>
            <w:r w:rsidRPr="00544A12">
              <w:rPr>
                <w:szCs w:val="20"/>
              </w:rPr>
              <w:t xml:space="preserve">Fagard RH, </w:t>
            </w:r>
            <w:r>
              <w:rPr>
                <w:szCs w:val="20"/>
              </w:rPr>
              <w:t xml:space="preserve">et.al </w:t>
            </w:r>
            <w:r w:rsidRPr="00544A12">
              <w:rPr>
                <w:b/>
                <w:szCs w:val="20"/>
              </w:rPr>
              <w:t>Prognostic significance of blood pressure measured in the office, at home and during ambulatory monitoring in older patients in general practice.</w:t>
            </w:r>
            <w:r w:rsidRPr="00544A12">
              <w:rPr>
                <w:szCs w:val="20"/>
              </w:rPr>
              <w:t xml:space="preserve"> </w:t>
            </w:r>
            <w:r w:rsidRPr="00544A12">
              <w:rPr>
                <w:i/>
                <w:iCs/>
                <w:szCs w:val="20"/>
              </w:rPr>
              <w:t xml:space="preserve">Journal of Human Hypertension. </w:t>
            </w:r>
            <w:r w:rsidRPr="00544A12">
              <w:rPr>
                <w:szCs w:val="20"/>
              </w:rPr>
              <w:t>2005; 19(10):801-807.</w:t>
            </w:r>
          </w:p>
        </w:tc>
        <w:tc>
          <w:tcPr>
            <w:tcW w:w="1215" w:type="pct"/>
          </w:tcPr>
          <w:p w:rsidR="001C58CC" w:rsidRDefault="001C58CC" w:rsidP="001C58CC">
            <w:pPr>
              <w:rPr>
                <w:b/>
                <w:szCs w:val="20"/>
              </w:rPr>
            </w:pPr>
            <w:r w:rsidRPr="00077206">
              <w:rPr>
                <w:szCs w:val="20"/>
              </w:rPr>
              <w:t>Compared ABPM</w:t>
            </w:r>
            <w:r>
              <w:rPr>
                <w:szCs w:val="20"/>
              </w:rPr>
              <w:t>, home</w:t>
            </w:r>
            <w:r w:rsidRPr="00077206">
              <w:rPr>
                <w:szCs w:val="20"/>
              </w:rPr>
              <w:t xml:space="preserve"> and clinic Blood Pressure for detection of cardiac events</w:t>
            </w:r>
            <w:r>
              <w:rPr>
                <w:szCs w:val="20"/>
              </w:rPr>
              <w:t xml:space="preserve"> and</w:t>
            </w:r>
            <w:r w:rsidRPr="00077206">
              <w:rPr>
                <w:szCs w:val="20"/>
              </w:rPr>
              <w:t xml:space="preserve"> stroke in </w:t>
            </w:r>
            <w:r>
              <w:rPr>
                <w:szCs w:val="20"/>
              </w:rPr>
              <w:t>391</w:t>
            </w:r>
            <w:r w:rsidRPr="00077206">
              <w:rPr>
                <w:szCs w:val="20"/>
              </w:rPr>
              <w:t xml:space="preserve"> patients with an average of </w:t>
            </w:r>
            <w:r>
              <w:rPr>
                <w:szCs w:val="20"/>
              </w:rPr>
              <w:t>10.9</w:t>
            </w:r>
            <w:r w:rsidRPr="00077206">
              <w:rPr>
                <w:szCs w:val="20"/>
              </w:rPr>
              <w:t xml:space="preserve"> years follow-up. Found</w:t>
            </w:r>
            <w:r>
              <w:rPr>
                <w:szCs w:val="20"/>
              </w:rPr>
              <w:t xml:space="preserve"> </w:t>
            </w:r>
            <w:r w:rsidRPr="00544A12">
              <w:rPr>
                <w:szCs w:val="20"/>
              </w:rPr>
              <w:t>Home: 1.32 (1.06, 1.64) p=0.01</w:t>
            </w:r>
            <w:r>
              <w:rPr>
                <w:szCs w:val="20"/>
              </w:rPr>
              <w:t>,</w:t>
            </w:r>
            <w:r w:rsidRPr="00544A12">
              <w:rPr>
                <w:szCs w:val="20"/>
              </w:rPr>
              <w:t xml:space="preserve"> ABPM (daytime): 1.33 (1.07, 1.64) p&lt;0.01</w:t>
            </w:r>
            <w:r>
              <w:rPr>
                <w:szCs w:val="20"/>
              </w:rPr>
              <w:t>,</w:t>
            </w:r>
            <w:r w:rsidRPr="00544A12">
              <w:rPr>
                <w:szCs w:val="20"/>
              </w:rPr>
              <w:t xml:space="preserve"> ABPM (night-time): 1.42 (1.16, 1.74) p&lt;0.001 </w:t>
            </w:r>
            <w:r>
              <w:rPr>
                <w:szCs w:val="20"/>
              </w:rPr>
              <w:t xml:space="preserve">vs </w:t>
            </w:r>
            <w:r w:rsidRPr="00544A12">
              <w:rPr>
                <w:szCs w:val="20"/>
              </w:rPr>
              <w:t>Clinic: 1.13 (0.88, 1.45) p=0.34</w:t>
            </w:r>
            <w:r>
              <w:rPr>
                <w:szCs w:val="20"/>
              </w:rPr>
              <w:t xml:space="preserve"> </w:t>
            </w:r>
            <w:r w:rsidRPr="00544A12">
              <w:rPr>
                <w:szCs w:val="20"/>
              </w:rPr>
              <w:t>Per 1mmHg rise in SBP</w:t>
            </w:r>
            <w:r>
              <w:rPr>
                <w:szCs w:val="20"/>
              </w:rPr>
              <w:t>. “</w:t>
            </w:r>
            <w:r w:rsidRPr="00544A12">
              <w:rPr>
                <w:szCs w:val="20"/>
              </w:rPr>
              <w:t>the prognostic value of home BP is better than that of office BP in older patients in primary care, a</w:t>
            </w:r>
            <w:r>
              <w:rPr>
                <w:szCs w:val="20"/>
              </w:rPr>
              <w:t>nd is at least equal to that of d</w:t>
            </w:r>
            <w:r w:rsidRPr="00544A12">
              <w:rPr>
                <w:szCs w:val="20"/>
              </w:rPr>
              <w:t>aytime ambulatory BP</w:t>
            </w:r>
            <w:r>
              <w:rPr>
                <w:szCs w:val="20"/>
              </w:rPr>
              <w:t>”</w:t>
            </w:r>
            <w:r w:rsidRPr="00544A12">
              <w:rPr>
                <w:szCs w:val="20"/>
              </w:rPr>
              <w:t xml:space="preserve">  </w:t>
            </w:r>
          </w:p>
        </w:tc>
        <w:tc>
          <w:tcPr>
            <w:tcW w:w="966" w:type="pct"/>
          </w:tcPr>
          <w:p w:rsidR="001C58CC" w:rsidRPr="00E9144E" w:rsidRDefault="00DD4A3B" w:rsidP="001C58CC">
            <w:pPr>
              <w:rPr>
                <w:szCs w:val="20"/>
              </w:rPr>
            </w:pPr>
            <w:hyperlink r:id="rId23" w:tooltip="Link to US National Library of Medicine " w:history="1">
              <w:r w:rsidR="001C58CC" w:rsidRPr="00261606">
                <w:rPr>
                  <w:rStyle w:val="Hyperlink"/>
                  <w:szCs w:val="20"/>
                </w:rPr>
                <w:t>https://www.ncbi.nlm.nih.gov/pubmed/15959536</w:t>
              </w:r>
            </w:hyperlink>
            <w:r w:rsidR="001C58CC">
              <w:rPr>
                <w:szCs w:val="20"/>
              </w:rPr>
              <w:t xml:space="preserve"> </w:t>
            </w:r>
          </w:p>
        </w:tc>
        <w:tc>
          <w:tcPr>
            <w:tcW w:w="834" w:type="pct"/>
          </w:tcPr>
          <w:p w:rsidR="001C58CC" w:rsidRPr="00835FA5" w:rsidRDefault="001C58CC" w:rsidP="001C58CC">
            <w:r>
              <w:rPr>
                <w:szCs w:val="20"/>
              </w:rPr>
              <w:t>2005</w:t>
            </w:r>
          </w:p>
        </w:tc>
      </w:tr>
      <w:tr w:rsidR="001C58CC" w:rsidTr="001C58CC">
        <w:trPr>
          <w:cantSplit/>
        </w:trPr>
        <w:tc>
          <w:tcPr>
            <w:tcW w:w="232" w:type="pct"/>
          </w:tcPr>
          <w:p w:rsidR="001C58CC" w:rsidRPr="00965B6B" w:rsidRDefault="00D0646E" w:rsidP="001C58CC">
            <w:pPr>
              <w:rPr>
                <w:szCs w:val="20"/>
              </w:rPr>
            </w:pPr>
            <w:r>
              <w:rPr>
                <w:szCs w:val="20"/>
              </w:rPr>
              <w:t>15.</w:t>
            </w:r>
          </w:p>
        </w:tc>
        <w:tc>
          <w:tcPr>
            <w:tcW w:w="768" w:type="pct"/>
          </w:tcPr>
          <w:p w:rsidR="001C58CC" w:rsidRPr="00E9144E" w:rsidRDefault="001C58CC" w:rsidP="001C58CC">
            <w:pPr>
              <w:rPr>
                <w:szCs w:val="20"/>
              </w:rPr>
            </w:pPr>
            <w:r>
              <w:rPr>
                <w:szCs w:val="20"/>
              </w:rPr>
              <w:t>Observational</w:t>
            </w:r>
          </w:p>
        </w:tc>
        <w:tc>
          <w:tcPr>
            <w:tcW w:w="985" w:type="pct"/>
          </w:tcPr>
          <w:p w:rsidR="001C58CC" w:rsidRPr="00E9144E" w:rsidRDefault="001C58CC" w:rsidP="001C58CC">
            <w:pPr>
              <w:rPr>
                <w:b/>
                <w:szCs w:val="20"/>
              </w:rPr>
            </w:pPr>
            <w:r w:rsidRPr="00B46517">
              <w:rPr>
                <w:szCs w:val="20"/>
              </w:rPr>
              <w:t xml:space="preserve">Sega R, </w:t>
            </w:r>
            <w:r>
              <w:rPr>
                <w:szCs w:val="20"/>
              </w:rPr>
              <w:t>et.al</w:t>
            </w:r>
            <w:r w:rsidRPr="00B46517">
              <w:rPr>
                <w:szCs w:val="20"/>
              </w:rPr>
              <w:t xml:space="preserve">. </w:t>
            </w:r>
            <w:r w:rsidRPr="00B46517">
              <w:rPr>
                <w:b/>
                <w:szCs w:val="20"/>
              </w:rPr>
              <w:t>Prognostic value of ambulatory and home blood pressures compared with office blood pressure in the general population: follow-up results from the Pressioni Arteriose Monitorate e Loro Associazioni (PAMELA) study.</w:t>
            </w:r>
            <w:r w:rsidRPr="00B46517">
              <w:rPr>
                <w:szCs w:val="20"/>
              </w:rPr>
              <w:t xml:space="preserve"> </w:t>
            </w:r>
            <w:r w:rsidRPr="00B46517">
              <w:rPr>
                <w:i/>
                <w:iCs/>
                <w:szCs w:val="20"/>
              </w:rPr>
              <w:t xml:space="preserve">Circulation. </w:t>
            </w:r>
            <w:r w:rsidRPr="00B46517">
              <w:rPr>
                <w:szCs w:val="20"/>
              </w:rPr>
              <w:t>2005; 111(14):1777-1783</w:t>
            </w:r>
          </w:p>
        </w:tc>
        <w:tc>
          <w:tcPr>
            <w:tcW w:w="1215" w:type="pct"/>
          </w:tcPr>
          <w:p w:rsidR="001C58CC" w:rsidRDefault="001C58CC" w:rsidP="001C58CC">
            <w:pPr>
              <w:rPr>
                <w:b/>
                <w:szCs w:val="20"/>
              </w:rPr>
            </w:pPr>
            <w:r w:rsidRPr="00077206">
              <w:rPr>
                <w:szCs w:val="20"/>
              </w:rPr>
              <w:t>Compared ABPM</w:t>
            </w:r>
            <w:r>
              <w:rPr>
                <w:szCs w:val="20"/>
              </w:rPr>
              <w:t>, home</w:t>
            </w:r>
            <w:r w:rsidRPr="00077206">
              <w:rPr>
                <w:szCs w:val="20"/>
              </w:rPr>
              <w:t xml:space="preserve"> and clinic Blood Pressure for </w:t>
            </w:r>
            <w:r>
              <w:rPr>
                <w:szCs w:val="20"/>
              </w:rPr>
              <w:t>mortality</w:t>
            </w:r>
            <w:r w:rsidRPr="00077206">
              <w:rPr>
                <w:szCs w:val="20"/>
              </w:rPr>
              <w:t xml:space="preserve"> in </w:t>
            </w:r>
            <w:r>
              <w:rPr>
                <w:szCs w:val="20"/>
              </w:rPr>
              <w:t>2051</w:t>
            </w:r>
            <w:r w:rsidRPr="00077206">
              <w:rPr>
                <w:szCs w:val="20"/>
              </w:rPr>
              <w:t xml:space="preserve"> patients with an average of </w:t>
            </w:r>
            <w:r>
              <w:rPr>
                <w:szCs w:val="20"/>
              </w:rPr>
              <w:t>10.9</w:t>
            </w:r>
            <w:r w:rsidRPr="00077206">
              <w:rPr>
                <w:szCs w:val="20"/>
              </w:rPr>
              <w:t xml:space="preserve"> years follow-up</w:t>
            </w:r>
            <w:r>
              <w:rPr>
                <w:szCs w:val="20"/>
              </w:rPr>
              <w:t>.  Results were that “</w:t>
            </w:r>
            <w:r w:rsidRPr="00BC54BD">
              <w:rPr>
                <w:szCs w:val="20"/>
              </w:rPr>
              <w:t xml:space="preserve">In </w:t>
            </w:r>
            <w:r>
              <w:rPr>
                <w:szCs w:val="20"/>
              </w:rPr>
              <w:t>t</w:t>
            </w:r>
            <w:r w:rsidRPr="00BC54BD">
              <w:rPr>
                <w:szCs w:val="20"/>
              </w:rPr>
              <w:t>he PAMELA population, risk of death increased more with a given increase in home or ambulatory than in office BP. The overall ability to predict death, however, was not greater for home and ambulatory than for office BP</w:t>
            </w:r>
            <w:r>
              <w:rPr>
                <w:szCs w:val="20"/>
              </w:rPr>
              <w:t>”</w:t>
            </w:r>
          </w:p>
        </w:tc>
        <w:tc>
          <w:tcPr>
            <w:tcW w:w="966" w:type="pct"/>
          </w:tcPr>
          <w:p w:rsidR="001C58CC" w:rsidRPr="00E9144E" w:rsidRDefault="00DD4A3B" w:rsidP="001C58CC">
            <w:pPr>
              <w:rPr>
                <w:szCs w:val="20"/>
              </w:rPr>
            </w:pPr>
            <w:hyperlink r:id="rId24" w:tooltip="Link to US National Library of Medicine " w:history="1">
              <w:r w:rsidR="001C58CC" w:rsidRPr="00261606">
                <w:rPr>
                  <w:rStyle w:val="Hyperlink"/>
                  <w:szCs w:val="20"/>
                </w:rPr>
                <w:t>https://www.ncbi.nlm.nih.gov/pubmed/15809377</w:t>
              </w:r>
            </w:hyperlink>
            <w:r w:rsidR="001C58CC">
              <w:rPr>
                <w:szCs w:val="20"/>
              </w:rPr>
              <w:t xml:space="preserve"> </w:t>
            </w:r>
          </w:p>
        </w:tc>
        <w:tc>
          <w:tcPr>
            <w:tcW w:w="834" w:type="pct"/>
          </w:tcPr>
          <w:p w:rsidR="001C58CC" w:rsidRPr="00E9144E" w:rsidRDefault="001C58CC" w:rsidP="001C58CC">
            <w:pPr>
              <w:rPr>
                <w:szCs w:val="20"/>
              </w:rPr>
            </w:pPr>
            <w:r>
              <w:rPr>
                <w:szCs w:val="20"/>
              </w:rPr>
              <w:t>2005</w:t>
            </w:r>
          </w:p>
        </w:tc>
      </w:tr>
      <w:tr w:rsidR="001C58CC" w:rsidTr="001C58CC">
        <w:trPr>
          <w:cantSplit/>
        </w:trPr>
        <w:tc>
          <w:tcPr>
            <w:tcW w:w="232" w:type="pct"/>
          </w:tcPr>
          <w:p w:rsidR="001C58CC" w:rsidRPr="00965B6B" w:rsidRDefault="001C58CC" w:rsidP="001C58CC">
            <w:pPr>
              <w:rPr>
                <w:szCs w:val="20"/>
              </w:rPr>
            </w:pPr>
          </w:p>
        </w:tc>
        <w:tc>
          <w:tcPr>
            <w:tcW w:w="768" w:type="pct"/>
          </w:tcPr>
          <w:p w:rsidR="001C58CC" w:rsidRPr="00E9144E" w:rsidRDefault="001C58CC" w:rsidP="001C58CC">
            <w:pPr>
              <w:rPr>
                <w:szCs w:val="20"/>
              </w:rPr>
            </w:pPr>
            <w:r w:rsidRPr="005458E4">
              <w:rPr>
                <w:b/>
                <w:bCs/>
                <w:iCs/>
                <w:szCs w:val="20"/>
              </w:rPr>
              <w:t>Sensitivity and specificity of clinic, home and ambulatory measurements</w:t>
            </w:r>
          </w:p>
        </w:tc>
        <w:tc>
          <w:tcPr>
            <w:tcW w:w="985" w:type="pct"/>
          </w:tcPr>
          <w:p w:rsidR="001C58CC" w:rsidRPr="00E9144E" w:rsidRDefault="001C58CC" w:rsidP="001C58CC">
            <w:pPr>
              <w:rPr>
                <w:szCs w:val="20"/>
              </w:rPr>
            </w:pPr>
          </w:p>
        </w:tc>
        <w:tc>
          <w:tcPr>
            <w:tcW w:w="1215" w:type="pct"/>
          </w:tcPr>
          <w:p w:rsidR="001C58CC" w:rsidRPr="00E9144E" w:rsidRDefault="001C58CC" w:rsidP="001C58CC">
            <w:pPr>
              <w:rPr>
                <w:szCs w:val="20"/>
              </w:rPr>
            </w:pPr>
          </w:p>
        </w:tc>
        <w:tc>
          <w:tcPr>
            <w:tcW w:w="966" w:type="pct"/>
          </w:tcPr>
          <w:p w:rsidR="001C58CC" w:rsidRPr="00E9144E" w:rsidRDefault="001C58CC" w:rsidP="001C58CC">
            <w:pPr>
              <w:rPr>
                <w:szCs w:val="20"/>
              </w:rPr>
            </w:pPr>
          </w:p>
        </w:tc>
        <w:tc>
          <w:tcPr>
            <w:tcW w:w="834" w:type="pct"/>
          </w:tcPr>
          <w:p w:rsidR="001C58CC" w:rsidRPr="00E9144E" w:rsidRDefault="001C58CC" w:rsidP="001C58CC">
            <w:pPr>
              <w:rPr>
                <w:szCs w:val="20"/>
              </w:rPr>
            </w:pPr>
          </w:p>
        </w:tc>
      </w:tr>
      <w:tr w:rsidR="001C58CC" w:rsidTr="001C58CC">
        <w:trPr>
          <w:cantSplit/>
        </w:trPr>
        <w:tc>
          <w:tcPr>
            <w:tcW w:w="232" w:type="pct"/>
          </w:tcPr>
          <w:p w:rsidR="001C58CC" w:rsidRDefault="00D0646E" w:rsidP="00ED0B76">
            <w:pPr>
              <w:rPr>
                <w:szCs w:val="20"/>
              </w:rPr>
            </w:pPr>
            <w:r>
              <w:rPr>
                <w:szCs w:val="20"/>
              </w:rPr>
              <w:t>16.</w:t>
            </w:r>
          </w:p>
        </w:tc>
        <w:tc>
          <w:tcPr>
            <w:tcW w:w="768" w:type="pct"/>
          </w:tcPr>
          <w:p w:rsidR="001C58CC" w:rsidRPr="00544A12" w:rsidRDefault="001C58CC" w:rsidP="00ED0B76">
            <w:pPr>
              <w:rPr>
                <w:b/>
                <w:szCs w:val="20"/>
              </w:rPr>
            </w:pPr>
            <w:r>
              <w:rPr>
                <w:szCs w:val="20"/>
              </w:rPr>
              <w:t>Systematic Review/ Meta-analysis</w:t>
            </w:r>
          </w:p>
        </w:tc>
        <w:tc>
          <w:tcPr>
            <w:tcW w:w="985" w:type="pct"/>
          </w:tcPr>
          <w:p w:rsidR="001C58CC" w:rsidRPr="009E4341" w:rsidRDefault="001C58CC" w:rsidP="00ED0B76">
            <w:pPr>
              <w:rPr>
                <w:szCs w:val="20"/>
              </w:rPr>
            </w:pPr>
            <w:r w:rsidRPr="005458E4">
              <w:rPr>
                <w:szCs w:val="20"/>
              </w:rPr>
              <w:t xml:space="preserve">Hodgkinson J, </w:t>
            </w:r>
            <w:r>
              <w:rPr>
                <w:szCs w:val="20"/>
              </w:rPr>
              <w:t>edt.al</w:t>
            </w:r>
            <w:r w:rsidRPr="005458E4">
              <w:rPr>
                <w:szCs w:val="20"/>
              </w:rPr>
              <w:t xml:space="preserve"> </w:t>
            </w:r>
            <w:r w:rsidRPr="005458E4">
              <w:rPr>
                <w:b/>
                <w:szCs w:val="20"/>
              </w:rPr>
              <w:t>Relative effectiveness of clinic and home blood pressure monitoring compared with ambulatory blood pressure monitoring in diagnosis of hypertension: systematic review</w:t>
            </w:r>
            <w:r w:rsidRPr="005458E4">
              <w:rPr>
                <w:szCs w:val="20"/>
              </w:rPr>
              <w:t xml:space="preserve">. </w:t>
            </w:r>
            <w:r w:rsidRPr="005458E4">
              <w:rPr>
                <w:i/>
                <w:iCs/>
                <w:szCs w:val="20"/>
              </w:rPr>
              <w:t xml:space="preserve">BMJ. </w:t>
            </w:r>
            <w:r w:rsidRPr="005458E4">
              <w:rPr>
                <w:szCs w:val="20"/>
              </w:rPr>
              <w:t>2011; 342:d3621</w:t>
            </w:r>
          </w:p>
        </w:tc>
        <w:tc>
          <w:tcPr>
            <w:tcW w:w="1215" w:type="pct"/>
          </w:tcPr>
          <w:p w:rsidR="001C58CC" w:rsidRPr="009E4341" w:rsidRDefault="001C58CC" w:rsidP="00ED0B76">
            <w:pPr>
              <w:rPr>
                <w:szCs w:val="20"/>
              </w:rPr>
            </w:pPr>
            <w:r>
              <w:rPr>
                <w:szCs w:val="20"/>
              </w:rPr>
              <w:t>Meta-analysis of 20 studies and 5863 patients to determine the relative accuracy of clinic and home BP vs ABPM in determining the diagnosis of Hypertension “</w:t>
            </w:r>
            <w:r w:rsidRPr="005458E4">
              <w:rPr>
                <w:szCs w:val="20"/>
              </w:rPr>
              <w:t xml:space="preserve">Neither clinic nor home measurement had sufficient sensitivity or specificity to be recommended as a single diagnostic test. </w:t>
            </w:r>
            <w:r>
              <w:rPr>
                <w:szCs w:val="20"/>
              </w:rPr>
              <w:t>I</w:t>
            </w:r>
            <w:r w:rsidRPr="005458E4">
              <w:rPr>
                <w:szCs w:val="20"/>
              </w:rPr>
              <w:t>f ambulatory monitoring is taken as the reference standard, then treatment decisions based on clinic or home blood pressure alone might result in substantial over diagnosis. Ambulatory monitoring before the start of lifelong drug treatment might lead to more appropriate targeting of treatment, particularly around the diagnostic threshold.</w:t>
            </w:r>
            <w:r>
              <w:rPr>
                <w:szCs w:val="20"/>
              </w:rPr>
              <w:t>”</w:t>
            </w:r>
          </w:p>
        </w:tc>
        <w:tc>
          <w:tcPr>
            <w:tcW w:w="966" w:type="pct"/>
          </w:tcPr>
          <w:p w:rsidR="001C58CC" w:rsidRPr="009E4341" w:rsidRDefault="00DD4A3B" w:rsidP="00ED0B76">
            <w:pPr>
              <w:rPr>
                <w:szCs w:val="20"/>
              </w:rPr>
            </w:pPr>
            <w:hyperlink r:id="rId25" w:tooltip="Link to US National Library of Medicine " w:history="1">
              <w:r w:rsidR="001C58CC" w:rsidRPr="00261606">
                <w:rPr>
                  <w:rStyle w:val="Hyperlink"/>
                  <w:szCs w:val="20"/>
                </w:rPr>
                <w:t>https://www.ncbi.nlm.nih.gov/pubmed/21705406</w:t>
              </w:r>
            </w:hyperlink>
            <w:r w:rsidR="001C58CC">
              <w:rPr>
                <w:szCs w:val="20"/>
              </w:rPr>
              <w:t xml:space="preserve"> </w:t>
            </w:r>
          </w:p>
        </w:tc>
        <w:tc>
          <w:tcPr>
            <w:tcW w:w="834" w:type="pct"/>
          </w:tcPr>
          <w:p w:rsidR="001C58CC" w:rsidRPr="009E4341" w:rsidRDefault="001C58CC" w:rsidP="00ED0B76">
            <w:pPr>
              <w:rPr>
                <w:szCs w:val="20"/>
              </w:rPr>
            </w:pPr>
            <w:r>
              <w:rPr>
                <w:szCs w:val="20"/>
              </w:rPr>
              <w:t>2011</w:t>
            </w:r>
          </w:p>
        </w:tc>
      </w:tr>
    </w:tbl>
    <w:p w:rsidR="0008580C" w:rsidRDefault="0008580C" w:rsidP="0008580C">
      <w:pPr>
        <w:spacing w:after="0"/>
        <w:ind w:left="426"/>
        <w:rPr>
          <w:i/>
          <w:szCs w:val="20"/>
        </w:rPr>
      </w:pPr>
      <w:r>
        <w:rPr>
          <w:i/>
          <w:szCs w:val="20"/>
        </w:rPr>
        <w:t xml:space="preserve">* Categorise study design, for example meta-analysis, randomised trials, non-randomised trial or observational study, study of diagnostic accuracy, etc. </w:t>
      </w:r>
    </w:p>
    <w:p w:rsidR="0008580C" w:rsidRDefault="0008580C" w:rsidP="0008580C">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rsidR="0008580C" w:rsidRDefault="0008580C" w:rsidP="0008580C">
      <w:pPr>
        <w:spacing w:after="0"/>
        <w:ind w:left="426"/>
        <w:rPr>
          <w:i/>
          <w:szCs w:val="20"/>
        </w:rPr>
      </w:pPr>
      <w:r w:rsidRPr="00E82F54">
        <w:rPr>
          <w:i/>
          <w:szCs w:val="20"/>
        </w:rPr>
        <w:t>*</w:t>
      </w:r>
      <w:r>
        <w:rPr>
          <w:szCs w:val="20"/>
        </w:rPr>
        <w:t>**</w:t>
      </w:r>
      <w:r>
        <w:rPr>
          <w:i/>
          <w:szCs w:val="20"/>
        </w:rPr>
        <w:t xml:space="preserve"> If the publication is a follow-up to an initial publication, please advise.</w:t>
      </w:r>
    </w:p>
    <w:p w:rsidR="000B66D4" w:rsidRDefault="000B66D4">
      <w:pPr>
        <w:spacing w:before="0" w:after="200" w:line="276" w:lineRule="auto"/>
        <w:rPr>
          <w:i/>
          <w:szCs w:val="20"/>
        </w:rPr>
      </w:pPr>
      <w:r>
        <w:rPr>
          <w:i/>
          <w:szCs w:val="20"/>
        </w:rPr>
        <w:br w:type="page"/>
      </w:r>
    </w:p>
    <w:tbl>
      <w:tblPr>
        <w:tblStyle w:val="TableGrid"/>
        <w:tblW w:w="5000" w:type="pct"/>
        <w:tblLayout w:type="fixed"/>
        <w:tblLook w:val="04A0" w:firstRow="1" w:lastRow="0" w:firstColumn="1" w:lastColumn="0" w:noHBand="0" w:noVBand="1"/>
        <w:tblCaption w:val="Summary of Evidence - Published"/>
      </w:tblPr>
      <w:tblGrid>
        <w:gridCol w:w="647"/>
        <w:gridCol w:w="2142"/>
        <w:gridCol w:w="2748"/>
        <w:gridCol w:w="3389"/>
        <w:gridCol w:w="2695"/>
        <w:gridCol w:w="2327"/>
      </w:tblGrid>
      <w:tr w:rsidR="000B66D4" w:rsidTr="001C58CC">
        <w:trPr>
          <w:cantSplit/>
          <w:tblHeader/>
        </w:trPr>
        <w:tc>
          <w:tcPr>
            <w:tcW w:w="232" w:type="pct"/>
          </w:tcPr>
          <w:p w:rsidR="000B66D4" w:rsidRDefault="000B66D4" w:rsidP="001C58CC">
            <w:pPr>
              <w:pStyle w:val="TableHEADER"/>
            </w:pPr>
          </w:p>
        </w:tc>
        <w:tc>
          <w:tcPr>
            <w:tcW w:w="768" w:type="pct"/>
          </w:tcPr>
          <w:p w:rsidR="000B66D4" w:rsidRDefault="000B66D4" w:rsidP="001C58CC">
            <w:pPr>
              <w:pStyle w:val="TableHEADER"/>
            </w:pPr>
            <w:r>
              <w:t>Type of study design*</w:t>
            </w:r>
          </w:p>
          <w:p w:rsidR="005279D7" w:rsidRDefault="005279D7" w:rsidP="005279D7">
            <w:pPr>
              <w:pStyle w:val="TableHEADER"/>
              <w:jc w:val="center"/>
            </w:pPr>
            <w:r>
              <w:t>GUIDELINES</w:t>
            </w:r>
          </w:p>
        </w:tc>
        <w:tc>
          <w:tcPr>
            <w:tcW w:w="985" w:type="pct"/>
          </w:tcPr>
          <w:p w:rsidR="000B66D4" w:rsidRDefault="000B66D4" w:rsidP="001C58CC">
            <w:pPr>
              <w:pStyle w:val="TableHEADER"/>
            </w:pPr>
            <w:r>
              <w:t>Title of journal article  or research project (including any trial identifier or study lead if relevant)</w:t>
            </w:r>
          </w:p>
        </w:tc>
        <w:tc>
          <w:tcPr>
            <w:tcW w:w="1215" w:type="pct"/>
          </w:tcPr>
          <w:p w:rsidR="000B66D4" w:rsidRDefault="000B66D4" w:rsidP="001C58CC">
            <w:pPr>
              <w:pStyle w:val="TableHEADER"/>
            </w:pPr>
            <w:r>
              <w:t>Short description of research  (max 50 words)**</w:t>
            </w:r>
          </w:p>
        </w:tc>
        <w:tc>
          <w:tcPr>
            <w:tcW w:w="966" w:type="pct"/>
          </w:tcPr>
          <w:p w:rsidR="000B66D4" w:rsidRDefault="000B66D4" w:rsidP="001C58CC">
            <w:pPr>
              <w:pStyle w:val="TableHEADER"/>
            </w:pPr>
            <w:r w:rsidRPr="00E82F54">
              <w:t xml:space="preserve">Website link to </w:t>
            </w:r>
            <w:r>
              <w:t>journal article or research (if available)</w:t>
            </w:r>
          </w:p>
        </w:tc>
        <w:tc>
          <w:tcPr>
            <w:tcW w:w="834" w:type="pct"/>
          </w:tcPr>
          <w:p w:rsidR="000B66D4" w:rsidRDefault="000B66D4" w:rsidP="001C58CC">
            <w:pPr>
              <w:pStyle w:val="TableHEADER"/>
            </w:pPr>
            <w:r w:rsidRPr="00E82F54">
              <w:t>Date</w:t>
            </w:r>
            <w:r>
              <w:t xml:space="preserve"> of publication</w:t>
            </w:r>
            <w:r w:rsidRPr="00E82F54">
              <w:t>*</w:t>
            </w:r>
            <w:r>
              <w:t>**</w:t>
            </w:r>
          </w:p>
        </w:tc>
      </w:tr>
      <w:tr w:rsidR="00991F81" w:rsidRPr="00991F81" w:rsidTr="001C58CC">
        <w:trPr>
          <w:cantSplit/>
        </w:trPr>
        <w:tc>
          <w:tcPr>
            <w:tcW w:w="232" w:type="pct"/>
          </w:tcPr>
          <w:p w:rsidR="000B66D4" w:rsidRPr="00991F81" w:rsidRDefault="000B66D4" w:rsidP="001C58CC">
            <w:pPr>
              <w:rPr>
                <w:szCs w:val="20"/>
              </w:rPr>
            </w:pPr>
            <w:r w:rsidRPr="00991F81">
              <w:rPr>
                <w:szCs w:val="20"/>
              </w:rPr>
              <w:t>1.</w:t>
            </w:r>
          </w:p>
        </w:tc>
        <w:tc>
          <w:tcPr>
            <w:tcW w:w="768" w:type="pct"/>
          </w:tcPr>
          <w:p w:rsidR="000B66D4" w:rsidRPr="00991F81" w:rsidRDefault="003C0D22" w:rsidP="003C0D22">
            <w:pPr>
              <w:rPr>
                <w:szCs w:val="20"/>
              </w:rPr>
            </w:pPr>
            <w:r w:rsidRPr="00991F81">
              <w:rPr>
                <w:szCs w:val="20"/>
              </w:rPr>
              <w:t>Guidelines</w:t>
            </w:r>
          </w:p>
        </w:tc>
        <w:tc>
          <w:tcPr>
            <w:tcW w:w="985" w:type="pct"/>
          </w:tcPr>
          <w:p w:rsidR="000B66D4" w:rsidRPr="00991F81" w:rsidRDefault="003C0D22" w:rsidP="003C0D22">
            <w:pPr>
              <w:rPr>
                <w:b/>
                <w:szCs w:val="20"/>
              </w:rPr>
            </w:pPr>
            <w:r w:rsidRPr="00991F81">
              <w:rPr>
                <w:szCs w:val="23"/>
              </w:rPr>
              <w:t xml:space="preserve">Nerenberg  et al. </w:t>
            </w:r>
            <w:r w:rsidRPr="00D0646E">
              <w:rPr>
                <w:b/>
                <w:szCs w:val="23"/>
              </w:rPr>
              <w:t>Hypertension Canada’s 2018 Guidelines for Diagnosis, Risk Assessment, Prevention, and Treatment of Hypertension in Adults and Children</w:t>
            </w:r>
          </w:p>
        </w:tc>
        <w:tc>
          <w:tcPr>
            <w:tcW w:w="1215" w:type="pct"/>
          </w:tcPr>
          <w:p w:rsidR="000B66D4" w:rsidRPr="00991F81" w:rsidRDefault="003C0D22" w:rsidP="001C58CC">
            <w:pPr>
              <w:rPr>
                <w:b/>
                <w:szCs w:val="20"/>
              </w:rPr>
            </w:pPr>
            <w:r w:rsidRPr="00991F81">
              <w:rPr>
                <w:szCs w:val="20"/>
              </w:rPr>
              <w:t>Canadian Guidelines</w:t>
            </w:r>
          </w:p>
        </w:tc>
        <w:tc>
          <w:tcPr>
            <w:tcW w:w="966" w:type="pct"/>
          </w:tcPr>
          <w:p w:rsidR="000B66D4" w:rsidRDefault="00DD4A3B" w:rsidP="001C58CC">
            <w:pPr>
              <w:rPr>
                <w:szCs w:val="20"/>
              </w:rPr>
            </w:pPr>
            <w:hyperlink r:id="rId26" w:tooltip="Link to guidelines" w:history="1">
              <w:r w:rsidR="005004C0" w:rsidRPr="00426AC5">
                <w:rPr>
                  <w:rStyle w:val="Hyperlink"/>
                  <w:szCs w:val="20"/>
                </w:rPr>
                <w:t>https://guidelines.hypertension.ca/</w:t>
              </w:r>
            </w:hyperlink>
          </w:p>
          <w:p w:rsidR="005004C0" w:rsidRPr="00991F81" w:rsidRDefault="005004C0" w:rsidP="001C58CC">
            <w:pPr>
              <w:rPr>
                <w:szCs w:val="20"/>
              </w:rPr>
            </w:pPr>
          </w:p>
        </w:tc>
        <w:tc>
          <w:tcPr>
            <w:tcW w:w="834" w:type="pct"/>
          </w:tcPr>
          <w:p w:rsidR="000B66D4" w:rsidRPr="00991F81" w:rsidRDefault="00991F81" w:rsidP="001C58CC">
            <w:r w:rsidRPr="00991F81">
              <w:t>2018</w:t>
            </w:r>
          </w:p>
        </w:tc>
      </w:tr>
      <w:tr w:rsidR="005279D7" w:rsidRPr="00991F81" w:rsidTr="001C58CC">
        <w:trPr>
          <w:cantSplit/>
        </w:trPr>
        <w:tc>
          <w:tcPr>
            <w:tcW w:w="232" w:type="pct"/>
          </w:tcPr>
          <w:p w:rsidR="00991F81" w:rsidRPr="00991F81" w:rsidRDefault="00991F81" w:rsidP="001C58CC">
            <w:pPr>
              <w:rPr>
                <w:szCs w:val="20"/>
              </w:rPr>
            </w:pPr>
            <w:r w:rsidRPr="00991F81">
              <w:rPr>
                <w:szCs w:val="20"/>
              </w:rPr>
              <w:t>2.</w:t>
            </w:r>
          </w:p>
        </w:tc>
        <w:tc>
          <w:tcPr>
            <w:tcW w:w="768" w:type="pct"/>
          </w:tcPr>
          <w:p w:rsidR="00991F81" w:rsidRPr="00991F81" w:rsidRDefault="00991F81" w:rsidP="003C0D22">
            <w:pPr>
              <w:rPr>
                <w:szCs w:val="20"/>
              </w:rPr>
            </w:pPr>
            <w:r w:rsidRPr="00991F81">
              <w:rPr>
                <w:szCs w:val="20"/>
              </w:rPr>
              <w:t>Guidelines</w:t>
            </w:r>
          </w:p>
        </w:tc>
        <w:tc>
          <w:tcPr>
            <w:tcW w:w="985" w:type="pct"/>
          </w:tcPr>
          <w:p w:rsidR="00991F81" w:rsidRPr="00991F81" w:rsidRDefault="00991F81" w:rsidP="00991F81">
            <w:pPr>
              <w:rPr>
                <w:szCs w:val="23"/>
              </w:rPr>
            </w:pPr>
            <w:r w:rsidRPr="00991F81">
              <w:rPr>
                <w:szCs w:val="23"/>
              </w:rPr>
              <w:t xml:space="preserve">Gabb et al.  </w:t>
            </w:r>
            <w:r w:rsidRPr="00D0646E">
              <w:rPr>
                <w:b/>
                <w:szCs w:val="23"/>
              </w:rPr>
              <w:t>Guideline for the diagnosis and management of hypertension in adults</w:t>
            </w:r>
          </w:p>
        </w:tc>
        <w:tc>
          <w:tcPr>
            <w:tcW w:w="1215" w:type="pct"/>
          </w:tcPr>
          <w:p w:rsidR="00991F81" w:rsidRPr="00991F81" w:rsidRDefault="00991F81" w:rsidP="001C58CC">
            <w:pPr>
              <w:rPr>
                <w:szCs w:val="20"/>
              </w:rPr>
            </w:pPr>
            <w:r w:rsidRPr="00991F81">
              <w:rPr>
                <w:szCs w:val="20"/>
              </w:rPr>
              <w:t>Australian Guidelines</w:t>
            </w:r>
          </w:p>
        </w:tc>
        <w:tc>
          <w:tcPr>
            <w:tcW w:w="966" w:type="pct"/>
          </w:tcPr>
          <w:p w:rsidR="005004C0" w:rsidRPr="00991F81" w:rsidRDefault="00DD4A3B" w:rsidP="001C58CC">
            <w:pPr>
              <w:rPr>
                <w:szCs w:val="20"/>
              </w:rPr>
            </w:pPr>
            <w:hyperlink r:id="rId27" w:tooltip="Link to MJA website" w:history="1">
              <w:r w:rsidR="005004C0" w:rsidRPr="00426AC5">
                <w:rPr>
                  <w:rStyle w:val="Hyperlink"/>
                  <w:szCs w:val="20"/>
                </w:rPr>
                <w:t>https://www.mja.com.au/journal/2016/205/2/guideline-diagnosis-and-management-hypertension-adults-2016</w:t>
              </w:r>
            </w:hyperlink>
          </w:p>
        </w:tc>
        <w:tc>
          <w:tcPr>
            <w:tcW w:w="834" w:type="pct"/>
          </w:tcPr>
          <w:p w:rsidR="00991F81" w:rsidRPr="00991F81" w:rsidRDefault="00991F81" w:rsidP="001C58CC">
            <w:r w:rsidRPr="00991F81">
              <w:t>2016</w:t>
            </w:r>
          </w:p>
        </w:tc>
      </w:tr>
      <w:tr w:rsidR="005279D7" w:rsidRPr="00991F81" w:rsidTr="001C58CC">
        <w:trPr>
          <w:cantSplit/>
        </w:trPr>
        <w:tc>
          <w:tcPr>
            <w:tcW w:w="232" w:type="pct"/>
          </w:tcPr>
          <w:p w:rsidR="00991F81" w:rsidRPr="00991F81" w:rsidRDefault="00991F81" w:rsidP="001C58CC">
            <w:pPr>
              <w:rPr>
                <w:szCs w:val="20"/>
              </w:rPr>
            </w:pPr>
            <w:r w:rsidRPr="00991F81">
              <w:rPr>
                <w:szCs w:val="20"/>
              </w:rPr>
              <w:t>3.</w:t>
            </w:r>
          </w:p>
        </w:tc>
        <w:tc>
          <w:tcPr>
            <w:tcW w:w="768" w:type="pct"/>
          </w:tcPr>
          <w:p w:rsidR="00991F81" w:rsidRPr="00991F81" w:rsidRDefault="00991F81" w:rsidP="003C0D22">
            <w:pPr>
              <w:rPr>
                <w:szCs w:val="20"/>
              </w:rPr>
            </w:pPr>
            <w:r w:rsidRPr="00991F81">
              <w:rPr>
                <w:szCs w:val="20"/>
              </w:rPr>
              <w:t>Guidelines</w:t>
            </w:r>
          </w:p>
        </w:tc>
        <w:tc>
          <w:tcPr>
            <w:tcW w:w="985" w:type="pct"/>
          </w:tcPr>
          <w:p w:rsidR="00991F81" w:rsidRPr="00D0646E" w:rsidRDefault="00991F81" w:rsidP="00991F81">
            <w:pPr>
              <w:rPr>
                <w:b/>
                <w:szCs w:val="23"/>
              </w:rPr>
            </w:pPr>
            <w:r w:rsidRPr="00D0646E">
              <w:rPr>
                <w:b/>
                <w:szCs w:val="23"/>
              </w:rPr>
              <w:t>NICE Management of hypertension</w:t>
            </w:r>
          </w:p>
        </w:tc>
        <w:tc>
          <w:tcPr>
            <w:tcW w:w="1215" w:type="pct"/>
          </w:tcPr>
          <w:p w:rsidR="00991F81" w:rsidRPr="00991F81" w:rsidRDefault="00991F81" w:rsidP="001C58CC">
            <w:pPr>
              <w:rPr>
                <w:szCs w:val="20"/>
              </w:rPr>
            </w:pPr>
            <w:r w:rsidRPr="00991F81">
              <w:rPr>
                <w:szCs w:val="20"/>
              </w:rPr>
              <w:t>UK Guidelines</w:t>
            </w:r>
          </w:p>
        </w:tc>
        <w:tc>
          <w:tcPr>
            <w:tcW w:w="966" w:type="pct"/>
          </w:tcPr>
          <w:p w:rsidR="005004C0" w:rsidRPr="00991F81" w:rsidRDefault="00DD4A3B" w:rsidP="001C58CC">
            <w:pPr>
              <w:rPr>
                <w:szCs w:val="20"/>
              </w:rPr>
            </w:pPr>
            <w:hyperlink r:id="rId28" w:tooltip="Link to NICE website" w:history="1">
              <w:r w:rsidR="005004C0" w:rsidRPr="00426AC5">
                <w:rPr>
                  <w:rStyle w:val="Hyperlink"/>
                  <w:szCs w:val="20"/>
                </w:rPr>
                <w:t>http://pathways.nice.org.uk/pathways/hypertension</w:t>
              </w:r>
            </w:hyperlink>
          </w:p>
        </w:tc>
        <w:tc>
          <w:tcPr>
            <w:tcW w:w="834" w:type="pct"/>
          </w:tcPr>
          <w:p w:rsidR="00991F81" w:rsidRPr="00991F81" w:rsidRDefault="00991F81" w:rsidP="001C58CC">
            <w:r w:rsidRPr="00991F81">
              <w:t>2018 updated</w:t>
            </w:r>
          </w:p>
        </w:tc>
      </w:tr>
    </w:tbl>
    <w:p w:rsidR="005279D7" w:rsidRDefault="005279D7" w:rsidP="0008580C">
      <w:pPr>
        <w:rPr>
          <w:i/>
          <w:szCs w:val="20"/>
        </w:rPr>
      </w:pPr>
    </w:p>
    <w:tbl>
      <w:tblPr>
        <w:tblStyle w:val="TableGrid"/>
        <w:tblW w:w="5000" w:type="pct"/>
        <w:tblLayout w:type="fixed"/>
        <w:tblLook w:val="04A0" w:firstRow="1" w:lastRow="0" w:firstColumn="1" w:lastColumn="0" w:noHBand="0" w:noVBand="1"/>
        <w:tblCaption w:val="Summary of Evidence - Published"/>
      </w:tblPr>
      <w:tblGrid>
        <w:gridCol w:w="647"/>
        <w:gridCol w:w="2142"/>
        <w:gridCol w:w="2748"/>
        <w:gridCol w:w="3389"/>
        <w:gridCol w:w="2695"/>
        <w:gridCol w:w="2327"/>
      </w:tblGrid>
      <w:tr w:rsidR="005279D7" w:rsidTr="001C58CC">
        <w:trPr>
          <w:cantSplit/>
          <w:tblHeader/>
        </w:trPr>
        <w:tc>
          <w:tcPr>
            <w:tcW w:w="232" w:type="pct"/>
          </w:tcPr>
          <w:p w:rsidR="005279D7" w:rsidRDefault="005279D7" w:rsidP="001C58CC">
            <w:pPr>
              <w:pStyle w:val="TableHEADER"/>
            </w:pPr>
          </w:p>
        </w:tc>
        <w:tc>
          <w:tcPr>
            <w:tcW w:w="768" w:type="pct"/>
          </w:tcPr>
          <w:p w:rsidR="005279D7" w:rsidRDefault="005279D7" w:rsidP="001C58CC">
            <w:pPr>
              <w:pStyle w:val="TableHEADER"/>
            </w:pPr>
            <w:r>
              <w:t>Type of study design*</w:t>
            </w:r>
          </w:p>
          <w:p w:rsidR="005279D7" w:rsidRDefault="005279D7" w:rsidP="001C58CC">
            <w:pPr>
              <w:pStyle w:val="TableHEADER"/>
            </w:pPr>
            <w:r>
              <w:t>ECONOMICS</w:t>
            </w:r>
          </w:p>
        </w:tc>
        <w:tc>
          <w:tcPr>
            <w:tcW w:w="985" w:type="pct"/>
          </w:tcPr>
          <w:p w:rsidR="005279D7" w:rsidRDefault="005279D7" w:rsidP="001C58CC">
            <w:pPr>
              <w:pStyle w:val="TableHEADER"/>
            </w:pPr>
            <w:r>
              <w:t>Title of journal article  or research project (including any trial identifier or study lead if relevant)</w:t>
            </w:r>
          </w:p>
        </w:tc>
        <w:tc>
          <w:tcPr>
            <w:tcW w:w="1215" w:type="pct"/>
          </w:tcPr>
          <w:p w:rsidR="005279D7" w:rsidRDefault="005279D7" w:rsidP="001C58CC">
            <w:pPr>
              <w:pStyle w:val="TableHEADER"/>
            </w:pPr>
            <w:r>
              <w:t>Short description of research  (max 50 words)**</w:t>
            </w:r>
          </w:p>
        </w:tc>
        <w:tc>
          <w:tcPr>
            <w:tcW w:w="966" w:type="pct"/>
          </w:tcPr>
          <w:p w:rsidR="005279D7" w:rsidRDefault="005279D7" w:rsidP="001C58CC">
            <w:pPr>
              <w:pStyle w:val="TableHEADER"/>
            </w:pPr>
            <w:r w:rsidRPr="00E82F54">
              <w:t xml:space="preserve">Website link to </w:t>
            </w:r>
            <w:r>
              <w:t>journal article or research (if available)</w:t>
            </w:r>
          </w:p>
        </w:tc>
        <w:tc>
          <w:tcPr>
            <w:tcW w:w="834" w:type="pct"/>
          </w:tcPr>
          <w:p w:rsidR="005279D7" w:rsidRDefault="005279D7" w:rsidP="001C58CC">
            <w:pPr>
              <w:pStyle w:val="TableHEADER"/>
            </w:pPr>
            <w:r w:rsidRPr="00E82F54">
              <w:t>Date</w:t>
            </w:r>
            <w:r>
              <w:t xml:space="preserve"> of publication</w:t>
            </w:r>
            <w:r w:rsidRPr="00E82F54">
              <w:t>*</w:t>
            </w:r>
            <w:r>
              <w:t>**</w:t>
            </w:r>
          </w:p>
        </w:tc>
      </w:tr>
      <w:tr w:rsidR="005279D7" w:rsidRPr="00991F81" w:rsidTr="001C58CC">
        <w:trPr>
          <w:cantSplit/>
        </w:trPr>
        <w:tc>
          <w:tcPr>
            <w:tcW w:w="232" w:type="pct"/>
          </w:tcPr>
          <w:p w:rsidR="005279D7" w:rsidRPr="00991F81" w:rsidRDefault="005279D7" w:rsidP="001C58CC">
            <w:pPr>
              <w:rPr>
                <w:szCs w:val="20"/>
              </w:rPr>
            </w:pPr>
            <w:r w:rsidRPr="00991F81">
              <w:rPr>
                <w:szCs w:val="20"/>
              </w:rPr>
              <w:t>1.</w:t>
            </w:r>
          </w:p>
        </w:tc>
        <w:tc>
          <w:tcPr>
            <w:tcW w:w="768" w:type="pct"/>
          </w:tcPr>
          <w:p w:rsidR="005279D7" w:rsidRPr="00991F81" w:rsidRDefault="005279D7" w:rsidP="001C58CC">
            <w:pPr>
              <w:rPr>
                <w:szCs w:val="20"/>
              </w:rPr>
            </w:pPr>
            <w:r>
              <w:rPr>
                <w:szCs w:val="20"/>
              </w:rPr>
              <w:t xml:space="preserve">Australian </w:t>
            </w:r>
            <w:r w:rsidRPr="005279D7">
              <w:rPr>
                <w:szCs w:val="20"/>
              </w:rPr>
              <w:t>cost analysis based on a model</w:t>
            </w:r>
          </w:p>
        </w:tc>
        <w:tc>
          <w:tcPr>
            <w:tcW w:w="985" w:type="pct"/>
          </w:tcPr>
          <w:p w:rsidR="005279D7" w:rsidRPr="00991F81" w:rsidRDefault="005279D7" w:rsidP="005279D7">
            <w:pPr>
              <w:rPr>
                <w:b/>
                <w:szCs w:val="20"/>
              </w:rPr>
            </w:pPr>
            <w:r w:rsidRPr="005279D7">
              <w:rPr>
                <w:szCs w:val="23"/>
              </w:rPr>
              <w:t>Ewald</w:t>
            </w:r>
            <w:r>
              <w:rPr>
                <w:szCs w:val="23"/>
              </w:rPr>
              <w:t xml:space="preserve"> et al. </w:t>
            </w:r>
            <w:r w:rsidRPr="00D0646E">
              <w:rPr>
                <w:b/>
                <w:szCs w:val="23"/>
              </w:rPr>
              <w:t>Cost analysis of ambulatory blood pressure monitoring in initiating antihypertensive drug treatment in Australian general practice</w:t>
            </w:r>
            <w:r w:rsidR="00D0646E">
              <w:rPr>
                <w:b/>
                <w:szCs w:val="23"/>
              </w:rPr>
              <w:t xml:space="preserve">.  </w:t>
            </w:r>
            <w:r w:rsidR="00D0646E" w:rsidRPr="00D0646E">
              <w:rPr>
                <w:szCs w:val="23"/>
              </w:rPr>
              <w:t>Med J Aust. 2002 Jun 17;176(12):580-3.</w:t>
            </w:r>
          </w:p>
        </w:tc>
        <w:tc>
          <w:tcPr>
            <w:tcW w:w="1215" w:type="pct"/>
          </w:tcPr>
          <w:p w:rsidR="005279D7" w:rsidRPr="00991F81" w:rsidRDefault="005279D7" w:rsidP="005279D7">
            <w:pPr>
              <w:rPr>
                <w:b/>
                <w:szCs w:val="20"/>
              </w:rPr>
            </w:pPr>
            <w:r>
              <w:rPr>
                <w:szCs w:val="20"/>
              </w:rPr>
              <w:t xml:space="preserve">Australian costing - </w:t>
            </w:r>
            <w:r w:rsidRPr="005279D7">
              <w:rPr>
                <w:szCs w:val="20"/>
              </w:rPr>
              <w:t>compare the cost of ambulatory blood pressure monitoring (ABPM)</w:t>
            </w:r>
            <w:r>
              <w:rPr>
                <w:szCs w:val="20"/>
              </w:rPr>
              <w:t xml:space="preserve"> </w:t>
            </w:r>
            <w:r w:rsidRPr="005279D7">
              <w:rPr>
                <w:szCs w:val="20"/>
              </w:rPr>
              <w:t>with the putative savings made through treatment avoided by identification and nontreatment</w:t>
            </w:r>
            <w:r>
              <w:rPr>
                <w:szCs w:val="20"/>
              </w:rPr>
              <w:t xml:space="preserve"> </w:t>
            </w:r>
            <w:r w:rsidRPr="005279D7">
              <w:rPr>
                <w:szCs w:val="20"/>
              </w:rPr>
              <w:t>of those with “white coat” hypertension.</w:t>
            </w:r>
          </w:p>
        </w:tc>
        <w:tc>
          <w:tcPr>
            <w:tcW w:w="966" w:type="pct"/>
          </w:tcPr>
          <w:p w:rsidR="005279D7" w:rsidRDefault="00DD4A3B" w:rsidP="001C58CC">
            <w:pPr>
              <w:rPr>
                <w:szCs w:val="20"/>
              </w:rPr>
            </w:pPr>
            <w:hyperlink r:id="rId29" w:tooltip="Link to US National Library of Medicine " w:history="1">
              <w:r w:rsidR="005004C0" w:rsidRPr="00426AC5">
                <w:rPr>
                  <w:rStyle w:val="Hyperlink"/>
                  <w:szCs w:val="20"/>
                </w:rPr>
                <w:t>https://www.ncbi.nlm.nih.gov/pubmed/12064956</w:t>
              </w:r>
            </w:hyperlink>
          </w:p>
          <w:p w:rsidR="005004C0" w:rsidRPr="00991F81" w:rsidRDefault="005004C0" w:rsidP="001C58CC">
            <w:pPr>
              <w:rPr>
                <w:szCs w:val="20"/>
              </w:rPr>
            </w:pPr>
          </w:p>
        </w:tc>
        <w:tc>
          <w:tcPr>
            <w:tcW w:w="834" w:type="pct"/>
          </w:tcPr>
          <w:p w:rsidR="005279D7" w:rsidRPr="00991F81" w:rsidRDefault="005279D7" w:rsidP="005279D7">
            <w:r w:rsidRPr="00991F81">
              <w:t>20</w:t>
            </w:r>
            <w:r>
              <w:t>02</w:t>
            </w:r>
          </w:p>
        </w:tc>
      </w:tr>
      <w:tr w:rsidR="00C3628A" w:rsidRPr="00991F81" w:rsidTr="001C58CC">
        <w:trPr>
          <w:cantSplit/>
        </w:trPr>
        <w:tc>
          <w:tcPr>
            <w:tcW w:w="232" w:type="pct"/>
          </w:tcPr>
          <w:p w:rsidR="00C3628A" w:rsidRPr="00991F81" w:rsidRDefault="00C3628A" w:rsidP="001C58CC">
            <w:pPr>
              <w:rPr>
                <w:szCs w:val="20"/>
              </w:rPr>
            </w:pPr>
            <w:r>
              <w:rPr>
                <w:szCs w:val="20"/>
              </w:rPr>
              <w:lastRenderedPageBreak/>
              <w:t>2.</w:t>
            </w:r>
          </w:p>
        </w:tc>
        <w:tc>
          <w:tcPr>
            <w:tcW w:w="768" w:type="pct"/>
          </w:tcPr>
          <w:p w:rsidR="00C3628A" w:rsidRDefault="00C3628A" w:rsidP="001C58CC">
            <w:pPr>
              <w:rPr>
                <w:szCs w:val="20"/>
              </w:rPr>
            </w:pPr>
          </w:p>
        </w:tc>
        <w:tc>
          <w:tcPr>
            <w:tcW w:w="985" w:type="pct"/>
          </w:tcPr>
          <w:p w:rsidR="00C3628A" w:rsidRPr="005279D7" w:rsidRDefault="00C3628A" w:rsidP="00C3628A">
            <w:pPr>
              <w:rPr>
                <w:szCs w:val="23"/>
              </w:rPr>
            </w:pPr>
            <w:r>
              <w:rPr>
                <w:szCs w:val="23"/>
              </w:rPr>
              <w:t xml:space="preserve">Costa et al. </w:t>
            </w:r>
            <w:r w:rsidRPr="00D0646E">
              <w:rPr>
                <w:b/>
                <w:szCs w:val="23"/>
              </w:rPr>
              <w:t>Cost-effectiveness of ambulatory blood pressure monitoring in the management of hypertension.</w:t>
            </w:r>
            <w:r>
              <w:rPr>
                <w:szCs w:val="23"/>
              </w:rPr>
              <w:t xml:space="preserve"> </w:t>
            </w:r>
            <w:r w:rsidRPr="00C3628A">
              <w:rPr>
                <w:szCs w:val="23"/>
              </w:rPr>
              <w:t>Rev Port Cardiol. 2017 Feb;36(2):129-139.</w:t>
            </w:r>
          </w:p>
        </w:tc>
        <w:tc>
          <w:tcPr>
            <w:tcW w:w="1215" w:type="pct"/>
          </w:tcPr>
          <w:p w:rsidR="00C3628A" w:rsidRDefault="00D0646E" w:rsidP="005279D7">
            <w:pPr>
              <w:rPr>
                <w:szCs w:val="20"/>
              </w:rPr>
            </w:pPr>
            <w:r w:rsidRPr="00D0646E">
              <w:rPr>
                <w:szCs w:val="20"/>
              </w:rPr>
              <w:t>The evidence shows that ABPM is cost-effective, avoiding iatrogenic effects and reducing expenditure on treatment (grade of recommendation B). The included studies provide a solid basis, but further evidence of reproducibility is needed in research that is not based mainly on analytical models.</w:t>
            </w:r>
          </w:p>
        </w:tc>
        <w:tc>
          <w:tcPr>
            <w:tcW w:w="966" w:type="pct"/>
          </w:tcPr>
          <w:p w:rsidR="00C3628A" w:rsidRDefault="00DD4A3B" w:rsidP="001C58CC">
            <w:pPr>
              <w:rPr>
                <w:szCs w:val="20"/>
              </w:rPr>
            </w:pPr>
            <w:hyperlink r:id="rId30" w:tooltip="Link to US National Library of Medicine " w:history="1">
              <w:r w:rsidR="005004C0" w:rsidRPr="00426AC5">
                <w:rPr>
                  <w:rStyle w:val="Hyperlink"/>
                  <w:szCs w:val="20"/>
                </w:rPr>
                <w:t>https://www.ncbi.nlm.nih.gov/pubmed/28159431</w:t>
              </w:r>
            </w:hyperlink>
          </w:p>
          <w:p w:rsidR="005004C0" w:rsidRPr="005279D7" w:rsidRDefault="005004C0" w:rsidP="001C58CC">
            <w:pPr>
              <w:rPr>
                <w:szCs w:val="20"/>
              </w:rPr>
            </w:pPr>
          </w:p>
        </w:tc>
        <w:tc>
          <w:tcPr>
            <w:tcW w:w="834" w:type="pct"/>
          </w:tcPr>
          <w:p w:rsidR="00C3628A" w:rsidRPr="00991F81" w:rsidRDefault="00C3628A" w:rsidP="005279D7">
            <w:r>
              <w:t>2017</w:t>
            </w:r>
          </w:p>
        </w:tc>
      </w:tr>
      <w:tr w:rsidR="00C3628A" w:rsidRPr="00991F81" w:rsidTr="001C58CC">
        <w:trPr>
          <w:cantSplit/>
        </w:trPr>
        <w:tc>
          <w:tcPr>
            <w:tcW w:w="232" w:type="pct"/>
          </w:tcPr>
          <w:p w:rsidR="00C3628A" w:rsidRDefault="00C3628A" w:rsidP="001C58CC">
            <w:pPr>
              <w:rPr>
                <w:szCs w:val="20"/>
              </w:rPr>
            </w:pPr>
            <w:r>
              <w:rPr>
                <w:szCs w:val="20"/>
              </w:rPr>
              <w:t>3.</w:t>
            </w:r>
          </w:p>
        </w:tc>
        <w:tc>
          <w:tcPr>
            <w:tcW w:w="768" w:type="pct"/>
          </w:tcPr>
          <w:p w:rsidR="00C3628A" w:rsidRDefault="00C3628A" w:rsidP="001C58CC">
            <w:pPr>
              <w:rPr>
                <w:szCs w:val="20"/>
              </w:rPr>
            </w:pPr>
          </w:p>
        </w:tc>
        <w:tc>
          <w:tcPr>
            <w:tcW w:w="985" w:type="pct"/>
          </w:tcPr>
          <w:p w:rsidR="00C3628A" w:rsidRDefault="00C3628A" w:rsidP="00C3628A">
            <w:pPr>
              <w:rPr>
                <w:szCs w:val="23"/>
              </w:rPr>
            </w:pPr>
            <w:r w:rsidRPr="00C3628A">
              <w:rPr>
                <w:szCs w:val="23"/>
              </w:rPr>
              <w:t xml:space="preserve">Pessanha </w:t>
            </w:r>
            <w:r>
              <w:rPr>
                <w:szCs w:val="23"/>
              </w:rPr>
              <w:t xml:space="preserve">et al. </w:t>
            </w:r>
            <w:r w:rsidRPr="00D0646E">
              <w:rPr>
                <w:b/>
                <w:szCs w:val="23"/>
              </w:rPr>
              <w:t>Diagnostic value and cost-benefit analysis of 24 hours ambulatory blood pressure monitoring in primary care in Portugal.</w:t>
            </w:r>
            <w:r>
              <w:rPr>
                <w:szCs w:val="23"/>
              </w:rPr>
              <w:t xml:space="preserve"> </w:t>
            </w:r>
            <w:r w:rsidRPr="00C3628A">
              <w:rPr>
                <w:szCs w:val="23"/>
              </w:rPr>
              <w:t>BMC Cardiovasc Disord. 2013 Aug 12;13:57.</w:t>
            </w:r>
          </w:p>
        </w:tc>
        <w:tc>
          <w:tcPr>
            <w:tcW w:w="1215" w:type="pct"/>
          </w:tcPr>
          <w:p w:rsidR="00C3628A" w:rsidRDefault="00D0646E" w:rsidP="005279D7">
            <w:pPr>
              <w:rPr>
                <w:szCs w:val="20"/>
              </w:rPr>
            </w:pPr>
            <w:r w:rsidRPr="00D0646E">
              <w:rPr>
                <w:szCs w:val="20"/>
              </w:rPr>
              <w:t>In PC, the widespread use of ABPM in newly diagnosed HTs increases diagnostic accuracy of hypertension, improves cardiovascular risk stratification, reduces health expenses showing a highly favourable benefit-cost ratio vs a strategy without ABPM.</w:t>
            </w:r>
          </w:p>
        </w:tc>
        <w:tc>
          <w:tcPr>
            <w:tcW w:w="966" w:type="pct"/>
          </w:tcPr>
          <w:p w:rsidR="00C3628A" w:rsidRDefault="00DD4A3B" w:rsidP="001C58CC">
            <w:pPr>
              <w:rPr>
                <w:szCs w:val="20"/>
              </w:rPr>
            </w:pPr>
            <w:hyperlink r:id="rId31" w:tooltip="Link to US National Library of Medicine " w:history="1">
              <w:r w:rsidR="005004C0" w:rsidRPr="00426AC5">
                <w:rPr>
                  <w:rStyle w:val="Hyperlink"/>
                  <w:szCs w:val="20"/>
                </w:rPr>
                <w:t>https://www.ncbi.nlm.nih.gov/pubmed/23937261</w:t>
              </w:r>
            </w:hyperlink>
          </w:p>
          <w:p w:rsidR="005004C0" w:rsidRPr="00C3628A" w:rsidRDefault="005004C0" w:rsidP="001C58CC">
            <w:pPr>
              <w:rPr>
                <w:szCs w:val="20"/>
              </w:rPr>
            </w:pPr>
          </w:p>
        </w:tc>
        <w:tc>
          <w:tcPr>
            <w:tcW w:w="834" w:type="pct"/>
          </w:tcPr>
          <w:p w:rsidR="00C3628A" w:rsidRDefault="00C3628A" w:rsidP="005279D7">
            <w:r>
              <w:t>2013</w:t>
            </w:r>
          </w:p>
        </w:tc>
      </w:tr>
      <w:tr w:rsidR="00580FF9" w:rsidRPr="00991F81" w:rsidTr="001C58CC">
        <w:trPr>
          <w:cantSplit/>
        </w:trPr>
        <w:tc>
          <w:tcPr>
            <w:tcW w:w="232" w:type="pct"/>
          </w:tcPr>
          <w:p w:rsidR="00580FF9" w:rsidRDefault="00580FF9" w:rsidP="001C58CC">
            <w:pPr>
              <w:rPr>
                <w:szCs w:val="20"/>
              </w:rPr>
            </w:pPr>
            <w:r>
              <w:rPr>
                <w:szCs w:val="20"/>
              </w:rPr>
              <w:lastRenderedPageBreak/>
              <w:t>4.</w:t>
            </w:r>
          </w:p>
        </w:tc>
        <w:tc>
          <w:tcPr>
            <w:tcW w:w="768" w:type="pct"/>
          </w:tcPr>
          <w:p w:rsidR="00580FF9" w:rsidRDefault="00D5496F" w:rsidP="001C58CC">
            <w:pPr>
              <w:rPr>
                <w:szCs w:val="20"/>
              </w:rPr>
            </w:pPr>
            <w:r w:rsidRPr="00580FF9">
              <w:rPr>
                <w:szCs w:val="23"/>
              </w:rPr>
              <w:t>Evidence-Based Analysis</w:t>
            </w:r>
          </w:p>
        </w:tc>
        <w:tc>
          <w:tcPr>
            <w:tcW w:w="985" w:type="pct"/>
          </w:tcPr>
          <w:p w:rsidR="00580FF9" w:rsidRPr="00C3628A" w:rsidRDefault="00580FF9" w:rsidP="00580FF9">
            <w:pPr>
              <w:rPr>
                <w:szCs w:val="23"/>
              </w:rPr>
            </w:pPr>
            <w:r w:rsidRPr="00580FF9">
              <w:rPr>
                <w:szCs w:val="23"/>
              </w:rPr>
              <w:t>Health Quality Ontario</w:t>
            </w:r>
            <w:r>
              <w:rPr>
                <w:szCs w:val="23"/>
              </w:rPr>
              <w:t xml:space="preserve">. </w:t>
            </w:r>
            <w:r w:rsidRPr="00D5496F">
              <w:rPr>
                <w:b/>
                <w:szCs w:val="23"/>
              </w:rPr>
              <w:t>Twenty-Four-Hour Ambulatory Blood Pressure Monitoring in Hypertension - An Evidence-Based Analysis.</w:t>
            </w:r>
            <w:r>
              <w:rPr>
                <w:szCs w:val="23"/>
              </w:rPr>
              <w:t xml:space="preserve"> </w:t>
            </w:r>
            <w:r w:rsidRPr="00580FF9">
              <w:rPr>
                <w:szCs w:val="23"/>
              </w:rPr>
              <w:t>Ont Health Technol Assess Ser. 2012; 12(15): 1–65.</w:t>
            </w:r>
          </w:p>
        </w:tc>
        <w:tc>
          <w:tcPr>
            <w:tcW w:w="1215" w:type="pct"/>
          </w:tcPr>
          <w:p w:rsidR="00580FF9" w:rsidRPr="00D0646E" w:rsidRDefault="00D5496F" w:rsidP="005279D7">
            <w:pPr>
              <w:rPr>
                <w:szCs w:val="20"/>
              </w:rPr>
            </w:pPr>
            <w:r w:rsidRPr="00D5496F">
              <w:rPr>
                <w:szCs w:val="20"/>
              </w:rPr>
              <w:t>A 2-fold increased risk for CBPM was shown for total combined cardiovascular events (RR, 1.79; 95% CI, 1.03–3.02) over 5 years. Patients using ABPM were more likely to have control of blood pressure (RR, 1.72; 95% CI, 1.18–2.52) and to discontinue drug therapy (RR, 3.61; 95% CI, 2.11–6.18) in short-term studies. Ambulatory blood pressure monitoring would save the health system $19 million (Cdn) over 5 years, with a borderline dominant effect (ICER: $30 per QALY). The quality of evidence was heterogeneous.</w:t>
            </w:r>
          </w:p>
        </w:tc>
        <w:tc>
          <w:tcPr>
            <w:tcW w:w="966" w:type="pct"/>
          </w:tcPr>
          <w:p w:rsidR="00580FF9" w:rsidRDefault="00DD4A3B" w:rsidP="001C58CC">
            <w:pPr>
              <w:rPr>
                <w:szCs w:val="20"/>
              </w:rPr>
            </w:pPr>
            <w:hyperlink r:id="rId32" w:tooltip="Link to US National Library of Medicine " w:history="1">
              <w:r w:rsidR="005004C0" w:rsidRPr="00426AC5">
                <w:rPr>
                  <w:rStyle w:val="Hyperlink"/>
                  <w:szCs w:val="20"/>
                </w:rPr>
                <w:t>https://www.ncbi.nlm.nih.gov/pmc/articles/PMC3377518/</w:t>
              </w:r>
            </w:hyperlink>
          </w:p>
          <w:p w:rsidR="005004C0" w:rsidRPr="00C3628A" w:rsidRDefault="005004C0" w:rsidP="001C58CC">
            <w:pPr>
              <w:rPr>
                <w:szCs w:val="20"/>
              </w:rPr>
            </w:pPr>
          </w:p>
        </w:tc>
        <w:tc>
          <w:tcPr>
            <w:tcW w:w="834" w:type="pct"/>
          </w:tcPr>
          <w:p w:rsidR="00580FF9" w:rsidRDefault="00D5496F" w:rsidP="005279D7">
            <w:r>
              <w:t>2012</w:t>
            </w:r>
          </w:p>
        </w:tc>
      </w:tr>
    </w:tbl>
    <w:p w:rsidR="0008580C" w:rsidRDefault="0008580C" w:rsidP="0008580C">
      <w:pPr>
        <w:rPr>
          <w:i/>
          <w:szCs w:val="20"/>
        </w:rPr>
      </w:pPr>
      <w:r>
        <w:rPr>
          <w:i/>
          <w:szCs w:val="20"/>
        </w:rPr>
        <w:br w:type="page"/>
      </w:r>
    </w:p>
    <w:p w:rsidR="004C49EF" w:rsidRPr="008E0C46" w:rsidRDefault="004C49EF" w:rsidP="00530204">
      <w:pPr>
        <w:pStyle w:val="Heading2"/>
        <w:rPr>
          <w:color w:val="A6A6A6" w:themeColor="background1" w:themeShade="A6"/>
        </w:rPr>
      </w:pPr>
      <w:r w:rsidRPr="008E0C46">
        <w:rPr>
          <w:color w:val="A6A6A6" w:themeColor="background1" w:themeShade="A6"/>
        </w:rPr>
        <w:lastRenderedPageBreak/>
        <w:t>Identify yet to be published research that may have results available in the near future that could be relevant in the consideration of your application by MSAC (limiting these to the English language only).</w:t>
      </w:r>
      <w:r w:rsidRPr="008E0C46">
        <w:rPr>
          <w:i/>
          <w:color w:val="A6A6A6" w:themeColor="background1" w:themeShade="A6"/>
        </w:rPr>
        <w:t xml:space="preserve"> Please do not attach full text articles, this is just intended to be a summary.</w:t>
      </w:r>
    </w:p>
    <w:tbl>
      <w:tblPr>
        <w:tblStyle w:val="TableGrid"/>
        <w:tblW w:w="5000" w:type="pct"/>
        <w:tblLook w:val="04A0" w:firstRow="1" w:lastRow="0" w:firstColumn="1" w:lastColumn="0" w:noHBand="0" w:noVBand="1"/>
        <w:tblCaption w:val="Summary of Evidence - Yet to be Published"/>
      </w:tblPr>
      <w:tblGrid>
        <w:gridCol w:w="909"/>
        <w:gridCol w:w="2497"/>
        <w:gridCol w:w="3138"/>
        <w:gridCol w:w="2466"/>
        <w:gridCol w:w="3476"/>
        <w:gridCol w:w="1462"/>
      </w:tblGrid>
      <w:tr w:rsidR="004C49EF" w:rsidRPr="008E0C46" w:rsidTr="004C49EF">
        <w:trPr>
          <w:cantSplit/>
          <w:tblHeader/>
        </w:trPr>
        <w:tc>
          <w:tcPr>
            <w:tcW w:w="326" w:type="pct"/>
          </w:tcPr>
          <w:p w:rsidR="004C49EF" w:rsidRPr="008E0C46" w:rsidRDefault="004C49EF" w:rsidP="00855944">
            <w:pPr>
              <w:pStyle w:val="TableHEADER"/>
              <w:rPr>
                <w:color w:val="A6A6A6" w:themeColor="background1" w:themeShade="A6"/>
              </w:rPr>
            </w:pPr>
          </w:p>
        </w:tc>
        <w:tc>
          <w:tcPr>
            <w:tcW w:w="895" w:type="pct"/>
          </w:tcPr>
          <w:p w:rsidR="004C49EF" w:rsidRPr="008E0C46" w:rsidRDefault="004C49EF" w:rsidP="00855944">
            <w:pPr>
              <w:pStyle w:val="TableHEADER"/>
              <w:rPr>
                <w:color w:val="A6A6A6" w:themeColor="background1" w:themeShade="A6"/>
              </w:rPr>
            </w:pPr>
            <w:r w:rsidRPr="008E0C46">
              <w:rPr>
                <w:color w:val="A6A6A6" w:themeColor="background1" w:themeShade="A6"/>
              </w:rPr>
              <w:t>Type of study design*</w:t>
            </w:r>
          </w:p>
        </w:tc>
        <w:tc>
          <w:tcPr>
            <w:tcW w:w="1125" w:type="pct"/>
          </w:tcPr>
          <w:p w:rsidR="004C49EF" w:rsidRPr="008E0C46" w:rsidRDefault="004C49EF" w:rsidP="00855944">
            <w:pPr>
              <w:pStyle w:val="TableHEADER"/>
              <w:rPr>
                <w:color w:val="A6A6A6" w:themeColor="background1" w:themeShade="A6"/>
              </w:rPr>
            </w:pPr>
            <w:r w:rsidRPr="008E0C46">
              <w:rPr>
                <w:color w:val="A6A6A6" w:themeColor="background1" w:themeShade="A6"/>
              </w:rPr>
              <w:t>Title of research (including any trial identifier if relevant)</w:t>
            </w:r>
          </w:p>
        </w:tc>
        <w:tc>
          <w:tcPr>
            <w:tcW w:w="884" w:type="pct"/>
          </w:tcPr>
          <w:p w:rsidR="004C49EF" w:rsidRPr="008E0C46" w:rsidRDefault="00367C1B" w:rsidP="00855944">
            <w:pPr>
              <w:pStyle w:val="TableHEADER"/>
              <w:rPr>
                <w:color w:val="A6A6A6" w:themeColor="background1" w:themeShade="A6"/>
              </w:rPr>
            </w:pPr>
            <w:r w:rsidRPr="008E0C46">
              <w:rPr>
                <w:color w:val="A6A6A6" w:themeColor="background1" w:themeShade="A6"/>
              </w:rPr>
              <w:t xml:space="preserve">Short description of research </w:t>
            </w:r>
            <w:r w:rsidR="004C49EF" w:rsidRPr="008E0C46">
              <w:rPr>
                <w:color w:val="A6A6A6" w:themeColor="background1" w:themeShade="A6"/>
              </w:rPr>
              <w:t>(max 50 words)**</w:t>
            </w:r>
          </w:p>
        </w:tc>
        <w:tc>
          <w:tcPr>
            <w:tcW w:w="1246" w:type="pct"/>
          </w:tcPr>
          <w:p w:rsidR="004C49EF" w:rsidRPr="008E0C46" w:rsidRDefault="004C49EF" w:rsidP="00855944">
            <w:pPr>
              <w:pStyle w:val="TableHEADER"/>
              <w:rPr>
                <w:color w:val="A6A6A6" w:themeColor="background1" w:themeShade="A6"/>
              </w:rPr>
            </w:pPr>
            <w:r w:rsidRPr="008E0C46">
              <w:rPr>
                <w:color w:val="A6A6A6" w:themeColor="background1" w:themeShade="A6"/>
              </w:rPr>
              <w:t>Website link to research (if available)</w:t>
            </w:r>
          </w:p>
        </w:tc>
        <w:tc>
          <w:tcPr>
            <w:tcW w:w="524" w:type="pct"/>
          </w:tcPr>
          <w:p w:rsidR="004C49EF" w:rsidRPr="008E0C46" w:rsidRDefault="004C49EF" w:rsidP="00855944">
            <w:pPr>
              <w:pStyle w:val="TableHEADER"/>
              <w:rPr>
                <w:color w:val="A6A6A6" w:themeColor="background1" w:themeShade="A6"/>
              </w:rPr>
            </w:pPr>
            <w:r w:rsidRPr="008E0C46">
              <w:rPr>
                <w:color w:val="A6A6A6" w:themeColor="background1" w:themeShade="A6"/>
              </w:rPr>
              <w:t>Date***</w:t>
            </w:r>
          </w:p>
        </w:tc>
      </w:tr>
      <w:tr w:rsidR="004C49EF" w:rsidRPr="008E0C46" w:rsidTr="004C49EF">
        <w:trPr>
          <w:cantSplit/>
        </w:trPr>
        <w:tc>
          <w:tcPr>
            <w:tcW w:w="326" w:type="pct"/>
          </w:tcPr>
          <w:p w:rsidR="004C49EF" w:rsidRPr="008E0C46" w:rsidRDefault="004C49EF" w:rsidP="00526478">
            <w:pPr>
              <w:rPr>
                <w:color w:val="A6A6A6" w:themeColor="background1" w:themeShade="A6"/>
                <w:szCs w:val="20"/>
              </w:rPr>
            </w:pPr>
            <w:r w:rsidRPr="008E0C46">
              <w:rPr>
                <w:color w:val="A6A6A6" w:themeColor="background1" w:themeShade="A6"/>
                <w:szCs w:val="20"/>
              </w:rPr>
              <w:t>1.</w:t>
            </w:r>
          </w:p>
        </w:tc>
        <w:tc>
          <w:tcPr>
            <w:tcW w:w="895" w:type="pct"/>
          </w:tcPr>
          <w:p w:rsidR="004C49EF" w:rsidRPr="008E0C46" w:rsidRDefault="002F30E7"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For yet to be published research that may have results relevant to your application, insert the type of study design in this column and columns below"/>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For yet to be published research that may have results relevant to your application, insert the type of study design in this column and columns below</w:t>
            </w:r>
            <w:r w:rsidRPr="008E0C46">
              <w:rPr>
                <w:color w:val="A6A6A6" w:themeColor="background1" w:themeShade="A6"/>
              </w:rPr>
              <w:fldChar w:fldCharType="end"/>
            </w:r>
          </w:p>
        </w:tc>
        <w:tc>
          <w:tcPr>
            <w:tcW w:w="1125" w:type="pct"/>
          </w:tcPr>
          <w:p w:rsidR="004C49EF" w:rsidRPr="008E0C46" w:rsidRDefault="00367C1B"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For yet to be published research that may have results relevant to your application, insert the title of research (including any trial identifier if relevant) in this column and columns below"/>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For yet to be published research that may have results relevant to your application, insert the title of research (including any trial identifier if relevant) in this column and columns below</w:t>
            </w:r>
            <w:r w:rsidRPr="008E0C46">
              <w:rPr>
                <w:color w:val="A6A6A6" w:themeColor="background1" w:themeShade="A6"/>
              </w:rPr>
              <w:fldChar w:fldCharType="end"/>
            </w:r>
          </w:p>
        </w:tc>
        <w:tc>
          <w:tcPr>
            <w:tcW w:w="884" w:type="pct"/>
          </w:tcPr>
          <w:p w:rsidR="004C49EF" w:rsidRPr="008E0C46" w:rsidRDefault="0035776D"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For yet to be published research that may have results relevant to your application, insert a short description of research (max 50 words) in this column and columns below"/>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For yet to be published research that may have results relevant to your application, insert a short description of research (max 50 words) in this column and columns below</w:t>
            </w:r>
            <w:r w:rsidRPr="008E0C46">
              <w:rPr>
                <w:color w:val="A6A6A6" w:themeColor="background1" w:themeShade="A6"/>
              </w:rPr>
              <w:fldChar w:fldCharType="end"/>
            </w:r>
          </w:p>
        </w:tc>
        <w:tc>
          <w:tcPr>
            <w:tcW w:w="1246" w:type="pct"/>
          </w:tcPr>
          <w:p w:rsidR="004C49EF" w:rsidRPr="008E0C46" w:rsidRDefault="00803EAB"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For yet to be published research that may have results relevant to your application, insert a website link to this research (if available) in this column and columns below"/>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For yet to be published research that may have results relevant to your application, insert a website link to this research (if available) in this column and columns below</w:t>
            </w:r>
            <w:r w:rsidRPr="008E0C46">
              <w:rPr>
                <w:color w:val="A6A6A6" w:themeColor="background1" w:themeShade="A6"/>
              </w:rPr>
              <w:fldChar w:fldCharType="end"/>
            </w:r>
          </w:p>
        </w:tc>
        <w:tc>
          <w:tcPr>
            <w:tcW w:w="524" w:type="pct"/>
          </w:tcPr>
          <w:p w:rsidR="004C49EF" w:rsidRPr="008E0C46" w:rsidRDefault="00DB311C"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For yet to be published research that may have results relevant to your application, insert date in this column and columns below"/>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For yet to be published research that may have results relevant to your application, insert date in this column and columns below</w:t>
            </w:r>
            <w:r w:rsidRPr="008E0C46">
              <w:rPr>
                <w:color w:val="A6A6A6" w:themeColor="background1" w:themeShade="A6"/>
              </w:rPr>
              <w:fldChar w:fldCharType="end"/>
            </w:r>
          </w:p>
        </w:tc>
      </w:tr>
      <w:tr w:rsidR="004C49EF" w:rsidRPr="008E0C46" w:rsidTr="004C49EF">
        <w:trPr>
          <w:cantSplit/>
        </w:trPr>
        <w:tc>
          <w:tcPr>
            <w:tcW w:w="326" w:type="pct"/>
          </w:tcPr>
          <w:p w:rsidR="004C49EF" w:rsidRPr="008E0C46" w:rsidRDefault="004C49EF" w:rsidP="00526478">
            <w:pPr>
              <w:rPr>
                <w:color w:val="A6A6A6" w:themeColor="background1" w:themeShade="A6"/>
                <w:szCs w:val="20"/>
              </w:rPr>
            </w:pPr>
            <w:r w:rsidRPr="008E0C46">
              <w:rPr>
                <w:color w:val="A6A6A6" w:themeColor="background1" w:themeShade="A6"/>
                <w:szCs w:val="20"/>
              </w:rPr>
              <w:t>2.</w:t>
            </w:r>
          </w:p>
        </w:tc>
        <w:tc>
          <w:tcPr>
            <w:tcW w:w="895" w:type="pct"/>
          </w:tcPr>
          <w:p w:rsidR="004C49EF" w:rsidRPr="008E0C46" w:rsidRDefault="002F30E7"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study design"/>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study design</w:t>
            </w:r>
            <w:r w:rsidRPr="008E0C46">
              <w:rPr>
                <w:color w:val="A6A6A6" w:themeColor="background1" w:themeShade="A6"/>
              </w:rPr>
              <w:fldChar w:fldCharType="end"/>
            </w:r>
          </w:p>
        </w:tc>
        <w:tc>
          <w:tcPr>
            <w:tcW w:w="1125" w:type="pct"/>
          </w:tcPr>
          <w:p w:rsidR="004C49EF" w:rsidRPr="008E0C46" w:rsidRDefault="00367C1B"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title of research"/>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title of research</w:t>
            </w:r>
            <w:r w:rsidRPr="008E0C46">
              <w:rPr>
                <w:color w:val="A6A6A6" w:themeColor="background1" w:themeShade="A6"/>
              </w:rPr>
              <w:fldChar w:fldCharType="end"/>
            </w:r>
          </w:p>
        </w:tc>
        <w:tc>
          <w:tcPr>
            <w:tcW w:w="884" w:type="pct"/>
          </w:tcPr>
          <w:p w:rsidR="004C49EF" w:rsidRPr="008E0C46" w:rsidRDefault="0035776D"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description "/>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 xml:space="preserve">Insert description </w:t>
            </w:r>
            <w:r w:rsidRPr="008E0C46">
              <w:rPr>
                <w:color w:val="A6A6A6" w:themeColor="background1" w:themeShade="A6"/>
              </w:rPr>
              <w:fldChar w:fldCharType="end"/>
            </w:r>
          </w:p>
        </w:tc>
        <w:tc>
          <w:tcPr>
            <w:tcW w:w="1246" w:type="pct"/>
          </w:tcPr>
          <w:p w:rsidR="004C49EF" w:rsidRPr="008E0C46" w:rsidRDefault="00803EAB"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website link"/>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website link</w:t>
            </w:r>
            <w:r w:rsidRPr="008E0C46">
              <w:rPr>
                <w:color w:val="A6A6A6" w:themeColor="background1" w:themeShade="A6"/>
              </w:rPr>
              <w:fldChar w:fldCharType="end"/>
            </w:r>
          </w:p>
        </w:tc>
        <w:tc>
          <w:tcPr>
            <w:tcW w:w="524" w:type="pct"/>
          </w:tcPr>
          <w:p w:rsidR="004C49EF" w:rsidRPr="008E0C46" w:rsidRDefault="00DB311C"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date"/>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date</w:t>
            </w:r>
            <w:r w:rsidRPr="008E0C46">
              <w:rPr>
                <w:color w:val="A6A6A6" w:themeColor="background1" w:themeShade="A6"/>
              </w:rPr>
              <w:fldChar w:fldCharType="end"/>
            </w:r>
          </w:p>
        </w:tc>
      </w:tr>
      <w:tr w:rsidR="004C49EF" w:rsidRPr="008E0C46" w:rsidTr="004C49EF">
        <w:trPr>
          <w:cantSplit/>
        </w:trPr>
        <w:tc>
          <w:tcPr>
            <w:tcW w:w="326" w:type="pct"/>
          </w:tcPr>
          <w:p w:rsidR="004C49EF" w:rsidRPr="008E0C46" w:rsidRDefault="004C49EF" w:rsidP="00526478">
            <w:pPr>
              <w:rPr>
                <w:color w:val="A6A6A6" w:themeColor="background1" w:themeShade="A6"/>
                <w:szCs w:val="20"/>
              </w:rPr>
            </w:pPr>
            <w:r w:rsidRPr="008E0C46">
              <w:rPr>
                <w:color w:val="A6A6A6" w:themeColor="background1" w:themeShade="A6"/>
                <w:szCs w:val="20"/>
              </w:rPr>
              <w:t>3.</w:t>
            </w:r>
          </w:p>
        </w:tc>
        <w:tc>
          <w:tcPr>
            <w:tcW w:w="895" w:type="pct"/>
          </w:tcPr>
          <w:p w:rsidR="004C49EF" w:rsidRPr="008E0C46" w:rsidRDefault="002F30E7"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study design"/>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study design</w:t>
            </w:r>
            <w:r w:rsidRPr="008E0C46">
              <w:rPr>
                <w:color w:val="A6A6A6" w:themeColor="background1" w:themeShade="A6"/>
              </w:rPr>
              <w:fldChar w:fldCharType="end"/>
            </w:r>
          </w:p>
        </w:tc>
        <w:tc>
          <w:tcPr>
            <w:tcW w:w="1125" w:type="pct"/>
          </w:tcPr>
          <w:p w:rsidR="004C49EF" w:rsidRPr="008E0C46" w:rsidRDefault="00367C1B"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title of research"/>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title of research</w:t>
            </w:r>
            <w:r w:rsidRPr="008E0C46">
              <w:rPr>
                <w:color w:val="A6A6A6" w:themeColor="background1" w:themeShade="A6"/>
              </w:rPr>
              <w:fldChar w:fldCharType="end"/>
            </w:r>
          </w:p>
        </w:tc>
        <w:tc>
          <w:tcPr>
            <w:tcW w:w="884" w:type="pct"/>
          </w:tcPr>
          <w:p w:rsidR="004C49EF" w:rsidRPr="008E0C46" w:rsidRDefault="0035776D"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description "/>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 xml:space="preserve">Insert description </w:t>
            </w:r>
            <w:r w:rsidRPr="008E0C46">
              <w:rPr>
                <w:color w:val="A6A6A6" w:themeColor="background1" w:themeShade="A6"/>
              </w:rPr>
              <w:fldChar w:fldCharType="end"/>
            </w:r>
          </w:p>
        </w:tc>
        <w:tc>
          <w:tcPr>
            <w:tcW w:w="1246" w:type="pct"/>
          </w:tcPr>
          <w:p w:rsidR="004C49EF" w:rsidRPr="008E0C46" w:rsidRDefault="00803EAB"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website link"/>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website link</w:t>
            </w:r>
            <w:r w:rsidRPr="008E0C46">
              <w:rPr>
                <w:color w:val="A6A6A6" w:themeColor="background1" w:themeShade="A6"/>
              </w:rPr>
              <w:fldChar w:fldCharType="end"/>
            </w:r>
          </w:p>
        </w:tc>
        <w:tc>
          <w:tcPr>
            <w:tcW w:w="524" w:type="pct"/>
          </w:tcPr>
          <w:p w:rsidR="004C49EF" w:rsidRPr="008E0C46" w:rsidRDefault="00DB311C"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date"/>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date</w:t>
            </w:r>
            <w:r w:rsidRPr="008E0C46">
              <w:rPr>
                <w:color w:val="A6A6A6" w:themeColor="background1" w:themeShade="A6"/>
              </w:rPr>
              <w:fldChar w:fldCharType="end"/>
            </w:r>
          </w:p>
        </w:tc>
      </w:tr>
      <w:tr w:rsidR="004C49EF" w:rsidRPr="008E0C46" w:rsidTr="004C49EF">
        <w:trPr>
          <w:cantSplit/>
        </w:trPr>
        <w:tc>
          <w:tcPr>
            <w:tcW w:w="326" w:type="pct"/>
          </w:tcPr>
          <w:p w:rsidR="004C49EF" w:rsidRPr="008E0C46" w:rsidRDefault="004C49EF" w:rsidP="00526478">
            <w:pPr>
              <w:rPr>
                <w:color w:val="A6A6A6" w:themeColor="background1" w:themeShade="A6"/>
                <w:szCs w:val="20"/>
              </w:rPr>
            </w:pPr>
            <w:r w:rsidRPr="008E0C46">
              <w:rPr>
                <w:color w:val="A6A6A6" w:themeColor="background1" w:themeShade="A6"/>
                <w:szCs w:val="20"/>
              </w:rPr>
              <w:t>4.</w:t>
            </w:r>
          </w:p>
        </w:tc>
        <w:tc>
          <w:tcPr>
            <w:tcW w:w="895" w:type="pct"/>
          </w:tcPr>
          <w:p w:rsidR="004C49EF" w:rsidRPr="008E0C46" w:rsidRDefault="002F30E7"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study design"/>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study design</w:t>
            </w:r>
            <w:r w:rsidRPr="008E0C46">
              <w:rPr>
                <w:color w:val="A6A6A6" w:themeColor="background1" w:themeShade="A6"/>
              </w:rPr>
              <w:fldChar w:fldCharType="end"/>
            </w:r>
          </w:p>
        </w:tc>
        <w:tc>
          <w:tcPr>
            <w:tcW w:w="1125" w:type="pct"/>
          </w:tcPr>
          <w:p w:rsidR="004C49EF" w:rsidRPr="008E0C46" w:rsidRDefault="00367C1B"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title of research"/>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title of research</w:t>
            </w:r>
            <w:r w:rsidRPr="008E0C46">
              <w:rPr>
                <w:color w:val="A6A6A6" w:themeColor="background1" w:themeShade="A6"/>
              </w:rPr>
              <w:fldChar w:fldCharType="end"/>
            </w:r>
          </w:p>
        </w:tc>
        <w:tc>
          <w:tcPr>
            <w:tcW w:w="884" w:type="pct"/>
          </w:tcPr>
          <w:p w:rsidR="004C49EF" w:rsidRPr="008E0C46" w:rsidRDefault="0035776D"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description "/>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 xml:space="preserve">Insert description </w:t>
            </w:r>
            <w:r w:rsidRPr="008E0C46">
              <w:rPr>
                <w:color w:val="A6A6A6" w:themeColor="background1" w:themeShade="A6"/>
              </w:rPr>
              <w:fldChar w:fldCharType="end"/>
            </w:r>
          </w:p>
        </w:tc>
        <w:tc>
          <w:tcPr>
            <w:tcW w:w="1246" w:type="pct"/>
          </w:tcPr>
          <w:p w:rsidR="004C49EF" w:rsidRPr="008E0C46" w:rsidRDefault="00803EAB"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website link"/>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website link</w:t>
            </w:r>
            <w:r w:rsidRPr="008E0C46">
              <w:rPr>
                <w:color w:val="A6A6A6" w:themeColor="background1" w:themeShade="A6"/>
              </w:rPr>
              <w:fldChar w:fldCharType="end"/>
            </w:r>
          </w:p>
        </w:tc>
        <w:tc>
          <w:tcPr>
            <w:tcW w:w="524" w:type="pct"/>
          </w:tcPr>
          <w:p w:rsidR="004C49EF" w:rsidRPr="008E0C46" w:rsidRDefault="00DB311C"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date"/>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date</w:t>
            </w:r>
            <w:r w:rsidRPr="008E0C46">
              <w:rPr>
                <w:color w:val="A6A6A6" w:themeColor="background1" w:themeShade="A6"/>
              </w:rPr>
              <w:fldChar w:fldCharType="end"/>
            </w:r>
          </w:p>
        </w:tc>
      </w:tr>
      <w:tr w:rsidR="004C49EF" w:rsidRPr="008E0C46" w:rsidTr="004C49EF">
        <w:trPr>
          <w:cantSplit/>
        </w:trPr>
        <w:tc>
          <w:tcPr>
            <w:tcW w:w="326" w:type="pct"/>
          </w:tcPr>
          <w:p w:rsidR="004C49EF" w:rsidRPr="008E0C46" w:rsidRDefault="004C49EF" w:rsidP="00526478">
            <w:pPr>
              <w:rPr>
                <w:color w:val="A6A6A6" w:themeColor="background1" w:themeShade="A6"/>
                <w:szCs w:val="20"/>
              </w:rPr>
            </w:pPr>
            <w:r w:rsidRPr="008E0C46">
              <w:rPr>
                <w:color w:val="A6A6A6" w:themeColor="background1" w:themeShade="A6"/>
                <w:szCs w:val="20"/>
              </w:rPr>
              <w:t>5.</w:t>
            </w:r>
          </w:p>
        </w:tc>
        <w:tc>
          <w:tcPr>
            <w:tcW w:w="895" w:type="pct"/>
          </w:tcPr>
          <w:p w:rsidR="004C49EF" w:rsidRPr="008E0C46" w:rsidRDefault="002F30E7"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study design"/>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study design</w:t>
            </w:r>
            <w:r w:rsidRPr="008E0C46">
              <w:rPr>
                <w:color w:val="A6A6A6" w:themeColor="background1" w:themeShade="A6"/>
              </w:rPr>
              <w:fldChar w:fldCharType="end"/>
            </w:r>
          </w:p>
        </w:tc>
        <w:tc>
          <w:tcPr>
            <w:tcW w:w="1125" w:type="pct"/>
          </w:tcPr>
          <w:p w:rsidR="004C49EF" w:rsidRPr="008E0C46" w:rsidRDefault="00367C1B"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title of research"/>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title of research</w:t>
            </w:r>
            <w:r w:rsidRPr="008E0C46">
              <w:rPr>
                <w:color w:val="A6A6A6" w:themeColor="background1" w:themeShade="A6"/>
              </w:rPr>
              <w:fldChar w:fldCharType="end"/>
            </w:r>
          </w:p>
        </w:tc>
        <w:tc>
          <w:tcPr>
            <w:tcW w:w="884" w:type="pct"/>
          </w:tcPr>
          <w:p w:rsidR="004C49EF" w:rsidRPr="008E0C46" w:rsidRDefault="0035776D"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description "/>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 xml:space="preserve">Insert description </w:t>
            </w:r>
            <w:r w:rsidRPr="008E0C46">
              <w:rPr>
                <w:color w:val="A6A6A6" w:themeColor="background1" w:themeShade="A6"/>
              </w:rPr>
              <w:fldChar w:fldCharType="end"/>
            </w:r>
          </w:p>
        </w:tc>
        <w:tc>
          <w:tcPr>
            <w:tcW w:w="1246" w:type="pct"/>
          </w:tcPr>
          <w:p w:rsidR="004C49EF" w:rsidRPr="008E0C46" w:rsidRDefault="00803EAB"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website link"/>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website link</w:t>
            </w:r>
            <w:r w:rsidRPr="008E0C46">
              <w:rPr>
                <w:color w:val="A6A6A6" w:themeColor="background1" w:themeShade="A6"/>
              </w:rPr>
              <w:fldChar w:fldCharType="end"/>
            </w:r>
          </w:p>
        </w:tc>
        <w:tc>
          <w:tcPr>
            <w:tcW w:w="524" w:type="pct"/>
          </w:tcPr>
          <w:p w:rsidR="004C49EF" w:rsidRPr="008E0C46" w:rsidRDefault="00DB311C"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date"/>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date</w:t>
            </w:r>
            <w:r w:rsidRPr="008E0C46">
              <w:rPr>
                <w:color w:val="A6A6A6" w:themeColor="background1" w:themeShade="A6"/>
              </w:rPr>
              <w:fldChar w:fldCharType="end"/>
            </w:r>
          </w:p>
        </w:tc>
      </w:tr>
      <w:tr w:rsidR="004C49EF" w:rsidRPr="008E0C46" w:rsidTr="004C49EF">
        <w:trPr>
          <w:cantSplit/>
        </w:trPr>
        <w:tc>
          <w:tcPr>
            <w:tcW w:w="326" w:type="pct"/>
          </w:tcPr>
          <w:p w:rsidR="004C49EF" w:rsidRPr="008E0C46" w:rsidRDefault="004C49EF" w:rsidP="00526478">
            <w:pPr>
              <w:rPr>
                <w:color w:val="A6A6A6" w:themeColor="background1" w:themeShade="A6"/>
                <w:szCs w:val="20"/>
              </w:rPr>
            </w:pPr>
            <w:r w:rsidRPr="008E0C46">
              <w:rPr>
                <w:color w:val="A6A6A6" w:themeColor="background1" w:themeShade="A6"/>
                <w:szCs w:val="20"/>
              </w:rPr>
              <w:t>6.</w:t>
            </w:r>
          </w:p>
        </w:tc>
        <w:tc>
          <w:tcPr>
            <w:tcW w:w="895" w:type="pct"/>
          </w:tcPr>
          <w:p w:rsidR="004C49EF" w:rsidRPr="008E0C46" w:rsidRDefault="002F30E7"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study design"/>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study design</w:t>
            </w:r>
            <w:r w:rsidRPr="008E0C46">
              <w:rPr>
                <w:color w:val="A6A6A6" w:themeColor="background1" w:themeShade="A6"/>
              </w:rPr>
              <w:fldChar w:fldCharType="end"/>
            </w:r>
          </w:p>
        </w:tc>
        <w:tc>
          <w:tcPr>
            <w:tcW w:w="1125" w:type="pct"/>
          </w:tcPr>
          <w:p w:rsidR="004C49EF" w:rsidRPr="008E0C46" w:rsidRDefault="00367C1B"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title of research"/>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title of research</w:t>
            </w:r>
            <w:r w:rsidRPr="008E0C46">
              <w:rPr>
                <w:color w:val="A6A6A6" w:themeColor="background1" w:themeShade="A6"/>
              </w:rPr>
              <w:fldChar w:fldCharType="end"/>
            </w:r>
          </w:p>
        </w:tc>
        <w:tc>
          <w:tcPr>
            <w:tcW w:w="884" w:type="pct"/>
          </w:tcPr>
          <w:p w:rsidR="004C49EF" w:rsidRPr="008E0C46" w:rsidRDefault="0035776D"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description "/>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 xml:space="preserve">Insert description </w:t>
            </w:r>
            <w:r w:rsidRPr="008E0C46">
              <w:rPr>
                <w:color w:val="A6A6A6" w:themeColor="background1" w:themeShade="A6"/>
              </w:rPr>
              <w:fldChar w:fldCharType="end"/>
            </w:r>
          </w:p>
        </w:tc>
        <w:tc>
          <w:tcPr>
            <w:tcW w:w="1246" w:type="pct"/>
          </w:tcPr>
          <w:p w:rsidR="004C49EF" w:rsidRPr="008E0C46" w:rsidRDefault="00803EAB"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website link"/>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website link</w:t>
            </w:r>
            <w:r w:rsidRPr="008E0C46">
              <w:rPr>
                <w:color w:val="A6A6A6" w:themeColor="background1" w:themeShade="A6"/>
              </w:rPr>
              <w:fldChar w:fldCharType="end"/>
            </w:r>
          </w:p>
        </w:tc>
        <w:tc>
          <w:tcPr>
            <w:tcW w:w="524" w:type="pct"/>
          </w:tcPr>
          <w:p w:rsidR="004C49EF" w:rsidRPr="008E0C46" w:rsidRDefault="00DB311C"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date"/>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date</w:t>
            </w:r>
            <w:r w:rsidRPr="008E0C46">
              <w:rPr>
                <w:color w:val="A6A6A6" w:themeColor="background1" w:themeShade="A6"/>
              </w:rPr>
              <w:fldChar w:fldCharType="end"/>
            </w:r>
          </w:p>
        </w:tc>
      </w:tr>
      <w:tr w:rsidR="004C49EF" w:rsidRPr="008E0C46" w:rsidTr="004C49EF">
        <w:trPr>
          <w:cantSplit/>
        </w:trPr>
        <w:tc>
          <w:tcPr>
            <w:tcW w:w="326" w:type="pct"/>
          </w:tcPr>
          <w:p w:rsidR="004C49EF" w:rsidRPr="008E0C46" w:rsidRDefault="004C49EF" w:rsidP="00526478">
            <w:pPr>
              <w:rPr>
                <w:color w:val="A6A6A6" w:themeColor="background1" w:themeShade="A6"/>
                <w:szCs w:val="20"/>
              </w:rPr>
            </w:pPr>
            <w:r w:rsidRPr="008E0C46">
              <w:rPr>
                <w:color w:val="A6A6A6" w:themeColor="background1" w:themeShade="A6"/>
                <w:szCs w:val="20"/>
              </w:rPr>
              <w:t>7.</w:t>
            </w:r>
          </w:p>
        </w:tc>
        <w:tc>
          <w:tcPr>
            <w:tcW w:w="895" w:type="pct"/>
          </w:tcPr>
          <w:p w:rsidR="004C49EF" w:rsidRPr="008E0C46" w:rsidRDefault="002F30E7"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study design"/>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study design</w:t>
            </w:r>
            <w:r w:rsidRPr="008E0C46">
              <w:rPr>
                <w:color w:val="A6A6A6" w:themeColor="background1" w:themeShade="A6"/>
              </w:rPr>
              <w:fldChar w:fldCharType="end"/>
            </w:r>
          </w:p>
        </w:tc>
        <w:tc>
          <w:tcPr>
            <w:tcW w:w="1125" w:type="pct"/>
          </w:tcPr>
          <w:p w:rsidR="004C49EF" w:rsidRPr="008E0C46" w:rsidRDefault="00367C1B"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title of research"/>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title of research</w:t>
            </w:r>
            <w:r w:rsidRPr="008E0C46">
              <w:rPr>
                <w:color w:val="A6A6A6" w:themeColor="background1" w:themeShade="A6"/>
              </w:rPr>
              <w:fldChar w:fldCharType="end"/>
            </w:r>
          </w:p>
        </w:tc>
        <w:tc>
          <w:tcPr>
            <w:tcW w:w="884" w:type="pct"/>
          </w:tcPr>
          <w:p w:rsidR="004C49EF" w:rsidRPr="008E0C46" w:rsidRDefault="0035776D"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description "/>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 xml:space="preserve">Insert description </w:t>
            </w:r>
            <w:r w:rsidRPr="008E0C46">
              <w:rPr>
                <w:color w:val="A6A6A6" w:themeColor="background1" w:themeShade="A6"/>
              </w:rPr>
              <w:fldChar w:fldCharType="end"/>
            </w:r>
          </w:p>
        </w:tc>
        <w:tc>
          <w:tcPr>
            <w:tcW w:w="1246" w:type="pct"/>
          </w:tcPr>
          <w:p w:rsidR="004C49EF" w:rsidRPr="008E0C46" w:rsidRDefault="00803EAB"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website link"/>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website link</w:t>
            </w:r>
            <w:r w:rsidRPr="008E0C46">
              <w:rPr>
                <w:color w:val="A6A6A6" w:themeColor="background1" w:themeShade="A6"/>
              </w:rPr>
              <w:fldChar w:fldCharType="end"/>
            </w:r>
          </w:p>
        </w:tc>
        <w:tc>
          <w:tcPr>
            <w:tcW w:w="524" w:type="pct"/>
          </w:tcPr>
          <w:p w:rsidR="004C49EF" w:rsidRPr="008E0C46" w:rsidRDefault="00DB311C"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date"/>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date</w:t>
            </w:r>
            <w:r w:rsidRPr="008E0C46">
              <w:rPr>
                <w:color w:val="A6A6A6" w:themeColor="background1" w:themeShade="A6"/>
              </w:rPr>
              <w:fldChar w:fldCharType="end"/>
            </w:r>
          </w:p>
        </w:tc>
      </w:tr>
      <w:tr w:rsidR="004C49EF" w:rsidRPr="008E0C46" w:rsidTr="004C49EF">
        <w:trPr>
          <w:cantSplit/>
        </w:trPr>
        <w:tc>
          <w:tcPr>
            <w:tcW w:w="326" w:type="pct"/>
          </w:tcPr>
          <w:p w:rsidR="004C49EF" w:rsidRPr="008E0C46" w:rsidRDefault="004C49EF" w:rsidP="00526478">
            <w:pPr>
              <w:rPr>
                <w:color w:val="A6A6A6" w:themeColor="background1" w:themeShade="A6"/>
                <w:szCs w:val="20"/>
              </w:rPr>
            </w:pPr>
            <w:r w:rsidRPr="008E0C46">
              <w:rPr>
                <w:color w:val="A6A6A6" w:themeColor="background1" w:themeShade="A6"/>
                <w:szCs w:val="20"/>
              </w:rPr>
              <w:t>8.</w:t>
            </w:r>
          </w:p>
        </w:tc>
        <w:tc>
          <w:tcPr>
            <w:tcW w:w="895" w:type="pct"/>
          </w:tcPr>
          <w:p w:rsidR="004C49EF" w:rsidRPr="008E0C46" w:rsidRDefault="002F30E7"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study design"/>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study design</w:t>
            </w:r>
            <w:r w:rsidRPr="008E0C46">
              <w:rPr>
                <w:color w:val="A6A6A6" w:themeColor="background1" w:themeShade="A6"/>
              </w:rPr>
              <w:fldChar w:fldCharType="end"/>
            </w:r>
          </w:p>
        </w:tc>
        <w:tc>
          <w:tcPr>
            <w:tcW w:w="1125" w:type="pct"/>
          </w:tcPr>
          <w:p w:rsidR="004C49EF" w:rsidRPr="008E0C46" w:rsidRDefault="00367C1B"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title of research"/>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title of research</w:t>
            </w:r>
            <w:r w:rsidRPr="008E0C46">
              <w:rPr>
                <w:color w:val="A6A6A6" w:themeColor="background1" w:themeShade="A6"/>
              </w:rPr>
              <w:fldChar w:fldCharType="end"/>
            </w:r>
          </w:p>
        </w:tc>
        <w:tc>
          <w:tcPr>
            <w:tcW w:w="884" w:type="pct"/>
          </w:tcPr>
          <w:p w:rsidR="004C49EF" w:rsidRPr="008E0C46" w:rsidRDefault="0035776D"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description "/>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 xml:space="preserve">Insert description </w:t>
            </w:r>
            <w:r w:rsidRPr="008E0C46">
              <w:rPr>
                <w:color w:val="A6A6A6" w:themeColor="background1" w:themeShade="A6"/>
              </w:rPr>
              <w:fldChar w:fldCharType="end"/>
            </w:r>
          </w:p>
        </w:tc>
        <w:tc>
          <w:tcPr>
            <w:tcW w:w="1246" w:type="pct"/>
          </w:tcPr>
          <w:p w:rsidR="004C49EF" w:rsidRPr="008E0C46" w:rsidRDefault="00803EAB"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website link"/>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website link</w:t>
            </w:r>
            <w:r w:rsidRPr="008E0C46">
              <w:rPr>
                <w:color w:val="A6A6A6" w:themeColor="background1" w:themeShade="A6"/>
              </w:rPr>
              <w:fldChar w:fldCharType="end"/>
            </w:r>
          </w:p>
        </w:tc>
        <w:tc>
          <w:tcPr>
            <w:tcW w:w="524" w:type="pct"/>
          </w:tcPr>
          <w:p w:rsidR="004C49EF" w:rsidRPr="008E0C46" w:rsidRDefault="00DB311C"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date"/>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date</w:t>
            </w:r>
            <w:r w:rsidRPr="008E0C46">
              <w:rPr>
                <w:color w:val="A6A6A6" w:themeColor="background1" w:themeShade="A6"/>
              </w:rPr>
              <w:fldChar w:fldCharType="end"/>
            </w:r>
          </w:p>
        </w:tc>
      </w:tr>
      <w:tr w:rsidR="004C49EF" w:rsidRPr="008E0C46" w:rsidTr="004C49EF">
        <w:trPr>
          <w:cantSplit/>
        </w:trPr>
        <w:tc>
          <w:tcPr>
            <w:tcW w:w="326" w:type="pct"/>
          </w:tcPr>
          <w:p w:rsidR="004C49EF" w:rsidRPr="008E0C46" w:rsidRDefault="004C49EF" w:rsidP="00526478">
            <w:pPr>
              <w:rPr>
                <w:color w:val="A6A6A6" w:themeColor="background1" w:themeShade="A6"/>
                <w:szCs w:val="20"/>
              </w:rPr>
            </w:pPr>
            <w:r w:rsidRPr="008E0C46">
              <w:rPr>
                <w:color w:val="A6A6A6" w:themeColor="background1" w:themeShade="A6"/>
                <w:szCs w:val="20"/>
              </w:rPr>
              <w:t>9.</w:t>
            </w:r>
          </w:p>
        </w:tc>
        <w:tc>
          <w:tcPr>
            <w:tcW w:w="895" w:type="pct"/>
          </w:tcPr>
          <w:p w:rsidR="004C49EF" w:rsidRPr="008E0C46" w:rsidRDefault="002F30E7"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study design"/>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study design</w:t>
            </w:r>
            <w:r w:rsidRPr="008E0C46">
              <w:rPr>
                <w:color w:val="A6A6A6" w:themeColor="background1" w:themeShade="A6"/>
              </w:rPr>
              <w:fldChar w:fldCharType="end"/>
            </w:r>
          </w:p>
        </w:tc>
        <w:tc>
          <w:tcPr>
            <w:tcW w:w="1125" w:type="pct"/>
          </w:tcPr>
          <w:p w:rsidR="004C49EF" w:rsidRPr="008E0C46" w:rsidRDefault="00367C1B"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title of research"/>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title of research</w:t>
            </w:r>
            <w:r w:rsidRPr="008E0C46">
              <w:rPr>
                <w:color w:val="A6A6A6" w:themeColor="background1" w:themeShade="A6"/>
              </w:rPr>
              <w:fldChar w:fldCharType="end"/>
            </w:r>
          </w:p>
        </w:tc>
        <w:tc>
          <w:tcPr>
            <w:tcW w:w="884" w:type="pct"/>
          </w:tcPr>
          <w:p w:rsidR="004C49EF" w:rsidRPr="008E0C46" w:rsidRDefault="0035776D"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description "/>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 xml:space="preserve">Insert description </w:t>
            </w:r>
            <w:r w:rsidRPr="008E0C46">
              <w:rPr>
                <w:color w:val="A6A6A6" w:themeColor="background1" w:themeShade="A6"/>
              </w:rPr>
              <w:fldChar w:fldCharType="end"/>
            </w:r>
          </w:p>
        </w:tc>
        <w:tc>
          <w:tcPr>
            <w:tcW w:w="1246" w:type="pct"/>
          </w:tcPr>
          <w:p w:rsidR="004C49EF" w:rsidRPr="008E0C46" w:rsidRDefault="00803EAB"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website link"/>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website link</w:t>
            </w:r>
            <w:r w:rsidRPr="008E0C46">
              <w:rPr>
                <w:color w:val="A6A6A6" w:themeColor="background1" w:themeShade="A6"/>
              </w:rPr>
              <w:fldChar w:fldCharType="end"/>
            </w:r>
          </w:p>
        </w:tc>
        <w:tc>
          <w:tcPr>
            <w:tcW w:w="524" w:type="pct"/>
          </w:tcPr>
          <w:p w:rsidR="004C49EF" w:rsidRPr="008E0C46" w:rsidRDefault="00DB311C"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date"/>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date</w:t>
            </w:r>
            <w:r w:rsidRPr="008E0C46">
              <w:rPr>
                <w:color w:val="A6A6A6" w:themeColor="background1" w:themeShade="A6"/>
              </w:rPr>
              <w:fldChar w:fldCharType="end"/>
            </w:r>
          </w:p>
        </w:tc>
      </w:tr>
      <w:tr w:rsidR="004C49EF" w:rsidRPr="008E0C46" w:rsidTr="004C49EF">
        <w:trPr>
          <w:cantSplit/>
        </w:trPr>
        <w:tc>
          <w:tcPr>
            <w:tcW w:w="326" w:type="pct"/>
          </w:tcPr>
          <w:p w:rsidR="004C49EF" w:rsidRPr="008E0C46" w:rsidRDefault="004C49EF" w:rsidP="00526478">
            <w:pPr>
              <w:rPr>
                <w:color w:val="A6A6A6" w:themeColor="background1" w:themeShade="A6"/>
                <w:szCs w:val="20"/>
              </w:rPr>
            </w:pPr>
            <w:r w:rsidRPr="008E0C46">
              <w:rPr>
                <w:color w:val="A6A6A6" w:themeColor="background1" w:themeShade="A6"/>
                <w:szCs w:val="20"/>
              </w:rPr>
              <w:lastRenderedPageBreak/>
              <w:t>10.</w:t>
            </w:r>
          </w:p>
        </w:tc>
        <w:tc>
          <w:tcPr>
            <w:tcW w:w="895" w:type="pct"/>
          </w:tcPr>
          <w:p w:rsidR="004C49EF" w:rsidRPr="008E0C46" w:rsidRDefault="002F30E7"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study design"/>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study design</w:t>
            </w:r>
            <w:r w:rsidRPr="008E0C46">
              <w:rPr>
                <w:color w:val="A6A6A6" w:themeColor="background1" w:themeShade="A6"/>
              </w:rPr>
              <w:fldChar w:fldCharType="end"/>
            </w:r>
          </w:p>
        </w:tc>
        <w:tc>
          <w:tcPr>
            <w:tcW w:w="1125" w:type="pct"/>
          </w:tcPr>
          <w:p w:rsidR="004C49EF" w:rsidRPr="008E0C46" w:rsidRDefault="00367C1B"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title of research"/>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title of research</w:t>
            </w:r>
            <w:r w:rsidRPr="008E0C46">
              <w:rPr>
                <w:color w:val="A6A6A6" w:themeColor="background1" w:themeShade="A6"/>
              </w:rPr>
              <w:fldChar w:fldCharType="end"/>
            </w:r>
          </w:p>
        </w:tc>
        <w:tc>
          <w:tcPr>
            <w:tcW w:w="884" w:type="pct"/>
          </w:tcPr>
          <w:p w:rsidR="004C49EF" w:rsidRPr="008E0C46" w:rsidRDefault="0035776D"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description "/>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 xml:space="preserve">Insert description </w:t>
            </w:r>
            <w:r w:rsidRPr="008E0C46">
              <w:rPr>
                <w:color w:val="A6A6A6" w:themeColor="background1" w:themeShade="A6"/>
              </w:rPr>
              <w:fldChar w:fldCharType="end"/>
            </w:r>
          </w:p>
        </w:tc>
        <w:tc>
          <w:tcPr>
            <w:tcW w:w="1246" w:type="pct"/>
          </w:tcPr>
          <w:p w:rsidR="004C49EF" w:rsidRPr="008E0C46" w:rsidRDefault="00803EAB"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website link"/>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website link</w:t>
            </w:r>
            <w:r w:rsidRPr="008E0C46">
              <w:rPr>
                <w:color w:val="A6A6A6" w:themeColor="background1" w:themeShade="A6"/>
              </w:rPr>
              <w:fldChar w:fldCharType="end"/>
            </w:r>
          </w:p>
        </w:tc>
        <w:tc>
          <w:tcPr>
            <w:tcW w:w="524" w:type="pct"/>
          </w:tcPr>
          <w:p w:rsidR="004C49EF" w:rsidRPr="008E0C46" w:rsidRDefault="00DB311C"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date"/>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date</w:t>
            </w:r>
            <w:r w:rsidRPr="008E0C46">
              <w:rPr>
                <w:color w:val="A6A6A6" w:themeColor="background1" w:themeShade="A6"/>
              </w:rPr>
              <w:fldChar w:fldCharType="end"/>
            </w:r>
          </w:p>
        </w:tc>
      </w:tr>
      <w:tr w:rsidR="004C49EF" w:rsidRPr="008E0C46" w:rsidTr="004C49EF">
        <w:trPr>
          <w:cantSplit/>
        </w:trPr>
        <w:tc>
          <w:tcPr>
            <w:tcW w:w="326" w:type="pct"/>
          </w:tcPr>
          <w:p w:rsidR="004C49EF" w:rsidRPr="008E0C46" w:rsidRDefault="004C49EF" w:rsidP="00526478">
            <w:pPr>
              <w:rPr>
                <w:color w:val="A6A6A6" w:themeColor="background1" w:themeShade="A6"/>
                <w:szCs w:val="20"/>
              </w:rPr>
            </w:pPr>
            <w:r w:rsidRPr="008E0C46">
              <w:rPr>
                <w:color w:val="A6A6A6" w:themeColor="background1" w:themeShade="A6"/>
                <w:szCs w:val="20"/>
              </w:rPr>
              <w:t>11.</w:t>
            </w:r>
          </w:p>
        </w:tc>
        <w:tc>
          <w:tcPr>
            <w:tcW w:w="895" w:type="pct"/>
          </w:tcPr>
          <w:p w:rsidR="004C49EF" w:rsidRPr="008E0C46" w:rsidRDefault="002F30E7"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study design"/>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study design</w:t>
            </w:r>
            <w:r w:rsidRPr="008E0C46">
              <w:rPr>
                <w:color w:val="A6A6A6" w:themeColor="background1" w:themeShade="A6"/>
              </w:rPr>
              <w:fldChar w:fldCharType="end"/>
            </w:r>
          </w:p>
        </w:tc>
        <w:tc>
          <w:tcPr>
            <w:tcW w:w="1125" w:type="pct"/>
          </w:tcPr>
          <w:p w:rsidR="004C49EF" w:rsidRPr="008E0C46" w:rsidRDefault="00367C1B"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title of research"/>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title of research</w:t>
            </w:r>
            <w:r w:rsidRPr="008E0C46">
              <w:rPr>
                <w:color w:val="A6A6A6" w:themeColor="background1" w:themeShade="A6"/>
              </w:rPr>
              <w:fldChar w:fldCharType="end"/>
            </w:r>
          </w:p>
        </w:tc>
        <w:tc>
          <w:tcPr>
            <w:tcW w:w="884" w:type="pct"/>
          </w:tcPr>
          <w:p w:rsidR="004C49EF" w:rsidRPr="008E0C46" w:rsidRDefault="0035776D"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description "/>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 xml:space="preserve">Insert description </w:t>
            </w:r>
            <w:r w:rsidRPr="008E0C46">
              <w:rPr>
                <w:color w:val="A6A6A6" w:themeColor="background1" w:themeShade="A6"/>
              </w:rPr>
              <w:fldChar w:fldCharType="end"/>
            </w:r>
          </w:p>
        </w:tc>
        <w:tc>
          <w:tcPr>
            <w:tcW w:w="1246" w:type="pct"/>
          </w:tcPr>
          <w:p w:rsidR="004C49EF" w:rsidRPr="008E0C46" w:rsidRDefault="00803EAB"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website link"/>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website link</w:t>
            </w:r>
            <w:r w:rsidRPr="008E0C46">
              <w:rPr>
                <w:color w:val="A6A6A6" w:themeColor="background1" w:themeShade="A6"/>
              </w:rPr>
              <w:fldChar w:fldCharType="end"/>
            </w:r>
          </w:p>
        </w:tc>
        <w:tc>
          <w:tcPr>
            <w:tcW w:w="524" w:type="pct"/>
          </w:tcPr>
          <w:p w:rsidR="004C49EF" w:rsidRPr="008E0C46" w:rsidRDefault="00DB311C"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date"/>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date</w:t>
            </w:r>
            <w:r w:rsidRPr="008E0C46">
              <w:rPr>
                <w:color w:val="A6A6A6" w:themeColor="background1" w:themeShade="A6"/>
              </w:rPr>
              <w:fldChar w:fldCharType="end"/>
            </w:r>
          </w:p>
        </w:tc>
      </w:tr>
      <w:tr w:rsidR="004C49EF" w:rsidRPr="008E0C46" w:rsidTr="004C49EF">
        <w:trPr>
          <w:cantSplit/>
        </w:trPr>
        <w:tc>
          <w:tcPr>
            <w:tcW w:w="326" w:type="pct"/>
          </w:tcPr>
          <w:p w:rsidR="004C49EF" w:rsidRPr="008E0C46" w:rsidRDefault="004C49EF" w:rsidP="00526478">
            <w:pPr>
              <w:rPr>
                <w:color w:val="A6A6A6" w:themeColor="background1" w:themeShade="A6"/>
                <w:szCs w:val="20"/>
              </w:rPr>
            </w:pPr>
            <w:r w:rsidRPr="008E0C46">
              <w:rPr>
                <w:color w:val="A6A6A6" w:themeColor="background1" w:themeShade="A6"/>
                <w:szCs w:val="20"/>
              </w:rPr>
              <w:t>12.</w:t>
            </w:r>
          </w:p>
        </w:tc>
        <w:tc>
          <w:tcPr>
            <w:tcW w:w="895" w:type="pct"/>
          </w:tcPr>
          <w:p w:rsidR="004C49EF" w:rsidRPr="008E0C46" w:rsidRDefault="002F30E7"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study design"/>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study design</w:t>
            </w:r>
            <w:r w:rsidRPr="008E0C46">
              <w:rPr>
                <w:color w:val="A6A6A6" w:themeColor="background1" w:themeShade="A6"/>
              </w:rPr>
              <w:fldChar w:fldCharType="end"/>
            </w:r>
          </w:p>
        </w:tc>
        <w:tc>
          <w:tcPr>
            <w:tcW w:w="1125" w:type="pct"/>
          </w:tcPr>
          <w:p w:rsidR="004C49EF" w:rsidRPr="008E0C46" w:rsidRDefault="00367C1B"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title of research"/>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title of research</w:t>
            </w:r>
            <w:r w:rsidRPr="008E0C46">
              <w:rPr>
                <w:color w:val="A6A6A6" w:themeColor="background1" w:themeShade="A6"/>
              </w:rPr>
              <w:fldChar w:fldCharType="end"/>
            </w:r>
          </w:p>
        </w:tc>
        <w:tc>
          <w:tcPr>
            <w:tcW w:w="884" w:type="pct"/>
          </w:tcPr>
          <w:p w:rsidR="004C49EF" w:rsidRPr="008E0C46" w:rsidRDefault="0035776D"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description "/>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 xml:space="preserve">Insert description </w:t>
            </w:r>
            <w:r w:rsidRPr="008E0C46">
              <w:rPr>
                <w:color w:val="A6A6A6" w:themeColor="background1" w:themeShade="A6"/>
              </w:rPr>
              <w:fldChar w:fldCharType="end"/>
            </w:r>
          </w:p>
        </w:tc>
        <w:tc>
          <w:tcPr>
            <w:tcW w:w="1246" w:type="pct"/>
          </w:tcPr>
          <w:p w:rsidR="004C49EF" w:rsidRPr="008E0C46" w:rsidRDefault="00803EAB"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website link"/>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website link</w:t>
            </w:r>
            <w:r w:rsidRPr="008E0C46">
              <w:rPr>
                <w:color w:val="A6A6A6" w:themeColor="background1" w:themeShade="A6"/>
              </w:rPr>
              <w:fldChar w:fldCharType="end"/>
            </w:r>
          </w:p>
        </w:tc>
        <w:tc>
          <w:tcPr>
            <w:tcW w:w="524" w:type="pct"/>
          </w:tcPr>
          <w:p w:rsidR="004C49EF" w:rsidRPr="008E0C46" w:rsidRDefault="00DB311C"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date"/>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date</w:t>
            </w:r>
            <w:r w:rsidRPr="008E0C46">
              <w:rPr>
                <w:color w:val="A6A6A6" w:themeColor="background1" w:themeShade="A6"/>
              </w:rPr>
              <w:fldChar w:fldCharType="end"/>
            </w:r>
          </w:p>
        </w:tc>
      </w:tr>
      <w:tr w:rsidR="004C49EF" w:rsidRPr="008E0C46" w:rsidTr="004C49EF">
        <w:trPr>
          <w:cantSplit/>
        </w:trPr>
        <w:tc>
          <w:tcPr>
            <w:tcW w:w="326" w:type="pct"/>
          </w:tcPr>
          <w:p w:rsidR="004C49EF" w:rsidRPr="008E0C46" w:rsidRDefault="004C49EF" w:rsidP="00526478">
            <w:pPr>
              <w:rPr>
                <w:color w:val="A6A6A6" w:themeColor="background1" w:themeShade="A6"/>
                <w:szCs w:val="20"/>
              </w:rPr>
            </w:pPr>
            <w:r w:rsidRPr="008E0C46">
              <w:rPr>
                <w:color w:val="A6A6A6" w:themeColor="background1" w:themeShade="A6"/>
                <w:szCs w:val="20"/>
              </w:rPr>
              <w:t>13.</w:t>
            </w:r>
          </w:p>
        </w:tc>
        <w:tc>
          <w:tcPr>
            <w:tcW w:w="895" w:type="pct"/>
          </w:tcPr>
          <w:p w:rsidR="004C49EF" w:rsidRPr="008E0C46" w:rsidRDefault="002F30E7"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study design"/>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study design</w:t>
            </w:r>
            <w:r w:rsidRPr="008E0C46">
              <w:rPr>
                <w:color w:val="A6A6A6" w:themeColor="background1" w:themeShade="A6"/>
              </w:rPr>
              <w:fldChar w:fldCharType="end"/>
            </w:r>
          </w:p>
        </w:tc>
        <w:tc>
          <w:tcPr>
            <w:tcW w:w="1125" w:type="pct"/>
          </w:tcPr>
          <w:p w:rsidR="004C49EF" w:rsidRPr="008E0C46" w:rsidRDefault="00367C1B"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title of research"/>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title of research</w:t>
            </w:r>
            <w:r w:rsidRPr="008E0C46">
              <w:rPr>
                <w:color w:val="A6A6A6" w:themeColor="background1" w:themeShade="A6"/>
              </w:rPr>
              <w:fldChar w:fldCharType="end"/>
            </w:r>
          </w:p>
        </w:tc>
        <w:tc>
          <w:tcPr>
            <w:tcW w:w="884" w:type="pct"/>
          </w:tcPr>
          <w:p w:rsidR="004C49EF" w:rsidRPr="008E0C46" w:rsidRDefault="0035776D"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description "/>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 xml:space="preserve">Insert description </w:t>
            </w:r>
            <w:r w:rsidRPr="008E0C46">
              <w:rPr>
                <w:color w:val="A6A6A6" w:themeColor="background1" w:themeShade="A6"/>
              </w:rPr>
              <w:fldChar w:fldCharType="end"/>
            </w:r>
          </w:p>
        </w:tc>
        <w:tc>
          <w:tcPr>
            <w:tcW w:w="1246" w:type="pct"/>
          </w:tcPr>
          <w:p w:rsidR="004C49EF" w:rsidRPr="008E0C46" w:rsidRDefault="00803EAB"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website link"/>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website link</w:t>
            </w:r>
            <w:r w:rsidRPr="008E0C46">
              <w:rPr>
                <w:color w:val="A6A6A6" w:themeColor="background1" w:themeShade="A6"/>
              </w:rPr>
              <w:fldChar w:fldCharType="end"/>
            </w:r>
          </w:p>
        </w:tc>
        <w:tc>
          <w:tcPr>
            <w:tcW w:w="524" w:type="pct"/>
          </w:tcPr>
          <w:p w:rsidR="004C49EF" w:rsidRPr="008E0C46" w:rsidRDefault="00DB311C"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date"/>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date</w:t>
            </w:r>
            <w:r w:rsidRPr="008E0C46">
              <w:rPr>
                <w:color w:val="A6A6A6" w:themeColor="background1" w:themeShade="A6"/>
              </w:rPr>
              <w:fldChar w:fldCharType="end"/>
            </w:r>
          </w:p>
        </w:tc>
      </w:tr>
      <w:tr w:rsidR="004C49EF" w:rsidRPr="008E0C46" w:rsidTr="004C49EF">
        <w:trPr>
          <w:cantSplit/>
        </w:trPr>
        <w:tc>
          <w:tcPr>
            <w:tcW w:w="326" w:type="pct"/>
          </w:tcPr>
          <w:p w:rsidR="004C49EF" w:rsidRPr="008E0C46" w:rsidRDefault="004C49EF" w:rsidP="00526478">
            <w:pPr>
              <w:rPr>
                <w:color w:val="A6A6A6" w:themeColor="background1" w:themeShade="A6"/>
                <w:szCs w:val="20"/>
              </w:rPr>
            </w:pPr>
            <w:r w:rsidRPr="008E0C46">
              <w:rPr>
                <w:color w:val="A6A6A6" w:themeColor="background1" w:themeShade="A6"/>
                <w:szCs w:val="20"/>
              </w:rPr>
              <w:t>14.</w:t>
            </w:r>
          </w:p>
        </w:tc>
        <w:tc>
          <w:tcPr>
            <w:tcW w:w="895" w:type="pct"/>
          </w:tcPr>
          <w:p w:rsidR="004C49EF" w:rsidRPr="008E0C46" w:rsidRDefault="002F30E7"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study design"/>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study design</w:t>
            </w:r>
            <w:r w:rsidRPr="008E0C46">
              <w:rPr>
                <w:color w:val="A6A6A6" w:themeColor="background1" w:themeShade="A6"/>
              </w:rPr>
              <w:fldChar w:fldCharType="end"/>
            </w:r>
          </w:p>
        </w:tc>
        <w:tc>
          <w:tcPr>
            <w:tcW w:w="1125" w:type="pct"/>
          </w:tcPr>
          <w:p w:rsidR="004C49EF" w:rsidRPr="008E0C46" w:rsidRDefault="00367C1B"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title of research"/>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title of research</w:t>
            </w:r>
            <w:r w:rsidRPr="008E0C46">
              <w:rPr>
                <w:color w:val="A6A6A6" w:themeColor="background1" w:themeShade="A6"/>
              </w:rPr>
              <w:fldChar w:fldCharType="end"/>
            </w:r>
          </w:p>
        </w:tc>
        <w:tc>
          <w:tcPr>
            <w:tcW w:w="884" w:type="pct"/>
          </w:tcPr>
          <w:p w:rsidR="004C49EF" w:rsidRPr="008E0C46" w:rsidRDefault="0035776D"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description "/>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 xml:space="preserve">Insert description </w:t>
            </w:r>
            <w:r w:rsidRPr="008E0C46">
              <w:rPr>
                <w:color w:val="A6A6A6" w:themeColor="background1" w:themeShade="A6"/>
              </w:rPr>
              <w:fldChar w:fldCharType="end"/>
            </w:r>
          </w:p>
        </w:tc>
        <w:tc>
          <w:tcPr>
            <w:tcW w:w="1246" w:type="pct"/>
          </w:tcPr>
          <w:p w:rsidR="004C49EF" w:rsidRPr="008E0C46" w:rsidRDefault="00803EAB"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website link"/>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website link</w:t>
            </w:r>
            <w:r w:rsidRPr="008E0C46">
              <w:rPr>
                <w:color w:val="A6A6A6" w:themeColor="background1" w:themeShade="A6"/>
              </w:rPr>
              <w:fldChar w:fldCharType="end"/>
            </w:r>
          </w:p>
        </w:tc>
        <w:tc>
          <w:tcPr>
            <w:tcW w:w="524" w:type="pct"/>
          </w:tcPr>
          <w:p w:rsidR="004C49EF" w:rsidRPr="008E0C46" w:rsidRDefault="00DB311C"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date"/>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date</w:t>
            </w:r>
            <w:r w:rsidRPr="008E0C46">
              <w:rPr>
                <w:color w:val="A6A6A6" w:themeColor="background1" w:themeShade="A6"/>
              </w:rPr>
              <w:fldChar w:fldCharType="end"/>
            </w:r>
          </w:p>
        </w:tc>
      </w:tr>
      <w:tr w:rsidR="004C49EF" w:rsidRPr="008E0C46" w:rsidTr="004C49EF">
        <w:trPr>
          <w:cantSplit/>
        </w:trPr>
        <w:tc>
          <w:tcPr>
            <w:tcW w:w="326" w:type="pct"/>
          </w:tcPr>
          <w:p w:rsidR="004C49EF" w:rsidRPr="008E0C46" w:rsidRDefault="004C49EF" w:rsidP="00526478">
            <w:pPr>
              <w:rPr>
                <w:color w:val="A6A6A6" w:themeColor="background1" w:themeShade="A6"/>
                <w:szCs w:val="20"/>
              </w:rPr>
            </w:pPr>
            <w:r w:rsidRPr="008E0C46">
              <w:rPr>
                <w:color w:val="A6A6A6" w:themeColor="background1" w:themeShade="A6"/>
                <w:szCs w:val="20"/>
              </w:rPr>
              <w:t>15.</w:t>
            </w:r>
          </w:p>
        </w:tc>
        <w:tc>
          <w:tcPr>
            <w:tcW w:w="895" w:type="pct"/>
          </w:tcPr>
          <w:p w:rsidR="004C49EF" w:rsidRPr="008E0C46" w:rsidRDefault="002F30E7"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study design"/>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study design</w:t>
            </w:r>
            <w:r w:rsidRPr="008E0C46">
              <w:rPr>
                <w:color w:val="A6A6A6" w:themeColor="background1" w:themeShade="A6"/>
              </w:rPr>
              <w:fldChar w:fldCharType="end"/>
            </w:r>
          </w:p>
        </w:tc>
        <w:tc>
          <w:tcPr>
            <w:tcW w:w="1125" w:type="pct"/>
          </w:tcPr>
          <w:p w:rsidR="004C49EF" w:rsidRPr="008E0C46" w:rsidRDefault="00367C1B"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title of research"/>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title of research</w:t>
            </w:r>
            <w:r w:rsidRPr="008E0C46">
              <w:rPr>
                <w:color w:val="A6A6A6" w:themeColor="background1" w:themeShade="A6"/>
              </w:rPr>
              <w:fldChar w:fldCharType="end"/>
            </w:r>
          </w:p>
        </w:tc>
        <w:tc>
          <w:tcPr>
            <w:tcW w:w="884" w:type="pct"/>
          </w:tcPr>
          <w:p w:rsidR="004C49EF" w:rsidRPr="008E0C46" w:rsidRDefault="0035776D"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description "/>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 xml:space="preserve">Insert description </w:t>
            </w:r>
            <w:r w:rsidRPr="008E0C46">
              <w:rPr>
                <w:color w:val="A6A6A6" w:themeColor="background1" w:themeShade="A6"/>
              </w:rPr>
              <w:fldChar w:fldCharType="end"/>
            </w:r>
          </w:p>
        </w:tc>
        <w:tc>
          <w:tcPr>
            <w:tcW w:w="1246" w:type="pct"/>
          </w:tcPr>
          <w:p w:rsidR="004C49EF" w:rsidRPr="008E0C46" w:rsidRDefault="00803EAB"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website link"/>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website link</w:t>
            </w:r>
            <w:r w:rsidRPr="008E0C46">
              <w:rPr>
                <w:color w:val="A6A6A6" w:themeColor="background1" w:themeShade="A6"/>
              </w:rPr>
              <w:fldChar w:fldCharType="end"/>
            </w:r>
          </w:p>
        </w:tc>
        <w:tc>
          <w:tcPr>
            <w:tcW w:w="524" w:type="pct"/>
          </w:tcPr>
          <w:p w:rsidR="004C49EF" w:rsidRPr="008E0C46" w:rsidRDefault="00DB311C" w:rsidP="00526478">
            <w:pPr>
              <w:rPr>
                <w:b/>
                <w:color w:val="A6A6A6" w:themeColor="background1" w:themeShade="A6"/>
                <w:szCs w:val="20"/>
              </w:rPr>
            </w:pPr>
            <w:r w:rsidRPr="008E0C46">
              <w:rPr>
                <w:color w:val="A6A6A6" w:themeColor="background1" w:themeShade="A6"/>
              </w:rPr>
              <w:fldChar w:fldCharType="begin">
                <w:ffData>
                  <w:name w:val=""/>
                  <w:enabled/>
                  <w:calcOnExit w:val="0"/>
                  <w:textInput>
                    <w:default w:val="Insert date"/>
                  </w:textInput>
                </w:ffData>
              </w:fldChar>
            </w:r>
            <w:r w:rsidRPr="008E0C46">
              <w:rPr>
                <w:color w:val="A6A6A6" w:themeColor="background1" w:themeShade="A6"/>
              </w:rPr>
              <w:instrText xml:space="preserve"> FORMTEXT </w:instrText>
            </w:r>
            <w:r w:rsidRPr="008E0C46">
              <w:rPr>
                <w:color w:val="A6A6A6" w:themeColor="background1" w:themeShade="A6"/>
              </w:rPr>
            </w:r>
            <w:r w:rsidRPr="008E0C46">
              <w:rPr>
                <w:color w:val="A6A6A6" w:themeColor="background1" w:themeShade="A6"/>
              </w:rPr>
              <w:fldChar w:fldCharType="separate"/>
            </w:r>
            <w:r w:rsidRPr="008E0C46">
              <w:rPr>
                <w:noProof/>
                <w:color w:val="A6A6A6" w:themeColor="background1" w:themeShade="A6"/>
              </w:rPr>
              <w:t>Insert date</w:t>
            </w:r>
            <w:r w:rsidRPr="008E0C46">
              <w:rPr>
                <w:color w:val="A6A6A6" w:themeColor="background1" w:themeShade="A6"/>
              </w:rPr>
              <w:fldChar w:fldCharType="end"/>
            </w:r>
          </w:p>
        </w:tc>
      </w:tr>
    </w:tbl>
    <w:p w:rsidR="004C49EF" w:rsidRPr="008E0C46" w:rsidRDefault="004C49EF" w:rsidP="004C49EF">
      <w:pPr>
        <w:spacing w:after="0"/>
        <w:ind w:left="426"/>
        <w:rPr>
          <w:i/>
          <w:color w:val="A6A6A6" w:themeColor="background1" w:themeShade="A6"/>
          <w:szCs w:val="20"/>
        </w:rPr>
      </w:pPr>
      <w:r w:rsidRPr="008E0C46">
        <w:rPr>
          <w:i/>
          <w:color w:val="A6A6A6" w:themeColor="background1" w:themeShade="A6"/>
          <w:szCs w:val="20"/>
        </w:rPr>
        <w:t xml:space="preserve">* Categorise study design, for example meta-analysis, randomised trials, non-randomised trial or observational study, study of diagnostic accuracy, etc. </w:t>
      </w:r>
    </w:p>
    <w:p w:rsidR="004C49EF" w:rsidRPr="008E0C46" w:rsidRDefault="004C49EF" w:rsidP="004C49EF">
      <w:pPr>
        <w:spacing w:after="0"/>
        <w:ind w:left="426"/>
        <w:rPr>
          <w:i/>
          <w:color w:val="A6A6A6" w:themeColor="background1" w:themeShade="A6"/>
          <w:szCs w:val="20"/>
        </w:rPr>
      </w:pPr>
      <w:r w:rsidRPr="008E0C46">
        <w:rPr>
          <w:i/>
          <w:color w:val="A6A6A6" w:themeColor="background1" w:themeShade="A6"/>
          <w:szCs w:val="20"/>
        </w:rPr>
        <w:t>**Provide high level information including population numbers and whether patients are being recruited or in post-recruitment.</w:t>
      </w:r>
    </w:p>
    <w:p w:rsidR="004C49EF" w:rsidRPr="008E0C46" w:rsidRDefault="004C49EF" w:rsidP="004C49EF">
      <w:pPr>
        <w:spacing w:after="0"/>
        <w:ind w:left="426"/>
        <w:rPr>
          <w:i/>
          <w:color w:val="A6A6A6" w:themeColor="background1" w:themeShade="A6"/>
          <w:szCs w:val="20"/>
        </w:rPr>
      </w:pPr>
      <w:r w:rsidRPr="008E0C46">
        <w:rPr>
          <w:i/>
          <w:color w:val="A6A6A6" w:themeColor="background1" w:themeShade="A6"/>
          <w:szCs w:val="20"/>
        </w:rPr>
        <w:t>*</w:t>
      </w:r>
      <w:r w:rsidRPr="008E0C46">
        <w:rPr>
          <w:color w:val="A6A6A6" w:themeColor="background1" w:themeShade="A6"/>
          <w:szCs w:val="20"/>
        </w:rPr>
        <w:t>**</w:t>
      </w:r>
      <w:r w:rsidRPr="008E0C46">
        <w:rPr>
          <w:i/>
          <w:color w:val="A6A6A6" w:themeColor="background1" w:themeShade="A6"/>
          <w:szCs w:val="20"/>
        </w:rPr>
        <w:t>Date of when results will be made available (to the best of your knowledge).</w:t>
      </w:r>
    </w:p>
    <w:p w:rsidR="00DD308E" w:rsidRPr="008E0C46" w:rsidRDefault="00F301F1">
      <w:pPr>
        <w:rPr>
          <w:b/>
          <w:color w:val="A6A6A6" w:themeColor="background1" w:themeShade="A6"/>
          <w:sz w:val="32"/>
          <w:szCs w:val="32"/>
        </w:rPr>
        <w:sectPr w:rsidR="00DD308E" w:rsidRPr="008E0C46" w:rsidSect="00DD308E">
          <w:pgSz w:w="16838" w:h="11906" w:orient="landscape"/>
          <w:pgMar w:top="1440" w:right="1440" w:bottom="1440" w:left="1440" w:header="708" w:footer="708" w:gutter="0"/>
          <w:cols w:space="708"/>
          <w:docGrid w:linePitch="360"/>
        </w:sectPr>
      </w:pPr>
      <w:r w:rsidRPr="008E0C46">
        <w:rPr>
          <w:b/>
          <w:color w:val="A6A6A6" w:themeColor="background1" w:themeShade="A6"/>
          <w:sz w:val="32"/>
          <w:szCs w:val="32"/>
        </w:rPr>
        <w:br w:type="page"/>
      </w:r>
    </w:p>
    <w:p w:rsidR="00E82F54" w:rsidRPr="00C776B1" w:rsidRDefault="005C3AE7" w:rsidP="00ED0B76">
      <w:pPr>
        <w:pStyle w:val="Heading1"/>
        <w:spacing w:after="120"/>
      </w:pPr>
      <w:r>
        <w:lastRenderedPageBreak/>
        <w:t>PART 5</w:t>
      </w:r>
      <w:r w:rsidR="00F93784">
        <w:t xml:space="preserve"> – </w:t>
      </w:r>
      <w:r w:rsidR="00E82F54" w:rsidRPr="00C776B1">
        <w:t>CLINICAL ENDORSEMENT AND CONSUMER INFORMATION</w:t>
      </w:r>
    </w:p>
    <w:p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rsidR="00A727B6" w:rsidRDefault="008E0C46" w:rsidP="00A727B6">
      <w:pPr>
        <w:ind w:left="426"/>
      </w:pPr>
      <w:r>
        <w:t>Cardiac Society of Australia and New Zealand</w:t>
      </w:r>
      <w:r w:rsidR="002B7299">
        <w:t xml:space="preserve"> (CSANZ)</w:t>
      </w:r>
    </w:p>
    <w:p w:rsidR="008E0C46" w:rsidRPr="00A727B6" w:rsidRDefault="003D4BE8" w:rsidP="008E0C46">
      <w:pPr>
        <w:ind w:left="426"/>
      </w:pPr>
      <w:r w:rsidRPr="003D4BE8">
        <w:t>Royal Australian College of General Practitioners (RACGP)</w:t>
      </w:r>
    </w:p>
    <w:p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rsidR="002B7299" w:rsidRDefault="002B7299" w:rsidP="002B7299">
      <w:pPr>
        <w:ind w:left="426"/>
      </w:pPr>
      <w:r>
        <w:t>Cardiac Society of Australia and New Zealand (CSANZ)</w:t>
      </w:r>
    </w:p>
    <w:p w:rsidR="002B7299" w:rsidRPr="00A727B6" w:rsidRDefault="002B7299" w:rsidP="002B7299">
      <w:pPr>
        <w:ind w:left="426"/>
      </w:pPr>
      <w:r w:rsidRPr="003D4BE8">
        <w:t>Royal Australian College of General Practitioners (RACGP)</w:t>
      </w:r>
    </w:p>
    <w:p w:rsidR="00E82F54" w:rsidRPr="00154B00"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rsidR="00E82F54" w:rsidRDefault="002B7299" w:rsidP="00A727B6">
      <w:pPr>
        <w:ind w:left="426"/>
        <w:rPr>
          <w:szCs w:val="20"/>
        </w:rPr>
      </w:pPr>
      <w:r w:rsidRPr="002B7299">
        <w:t>National Heart Foundation of Australia</w:t>
      </w:r>
    </w:p>
    <w:p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tbl>
      <w:tblPr>
        <w:tblStyle w:val="TableGrid4"/>
        <w:tblW w:w="8335" w:type="dxa"/>
        <w:tblInd w:w="534" w:type="dxa"/>
        <w:tblLook w:val="04A0" w:firstRow="1" w:lastRow="0" w:firstColumn="1" w:lastColumn="0" w:noHBand="0" w:noVBand="1"/>
        <w:tblCaption w:val="Table"/>
        <w:tblDescription w:val="Names of sponsors"/>
      </w:tblPr>
      <w:tblGrid>
        <w:gridCol w:w="3827"/>
        <w:gridCol w:w="4508"/>
      </w:tblGrid>
      <w:tr w:rsidR="0008580C" w:rsidRPr="0008580C" w:rsidTr="00FA0B55">
        <w:trPr>
          <w:tblHeader/>
        </w:trPr>
        <w:tc>
          <w:tcPr>
            <w:tcW w:w="3827" w:type="dxa"/>
          </w:tcPr>
          <w:p w:rsidR="0008580C" w:rsidRPr="0008580C" w:rsidRDefault="0008580C" w:rsidP="0008580C">
            <w:pPr>
              <w:spacing w:before="60" w:after="60"/>
              <w:rPr>
                <w:b/>
              </w:rPr>
            </w:pPr>
            <w:r w:rsidRPr="0008580C">
              <w:rPr>
                <w:b/>
              </w:rPr>
              <w:t>Sponsor</w:t>
            </w:r>
          </w:p>
        </w:tc>
        <w:tc>
          <w:tcPr>
            <w:tcW w:w="4508" w:type="dxa"/>
          </w:tcPr>
          <w:p w:rsidR="0008580C" w:rsidRPr="0008580C" w:rsidRDefault="0008580C" w:rsidP="0008580C">
            <w:pPr>
              <w:spacing w:before="60" w:after="60"/>
              <w:rPr>
                <w:b/>
              </w:rPr>
            </w:pPr>
            <w:r w:rsidRPr="0008580C">
              <w:rPr>
                <w:b/>
              </w:rPr>
              <w:t>Manufacturer</w:t>
            </w:r>
          </w:p>
        </w:tc>
      </w:tr>
      <w:tr w:rsidR="0008580C" w:rsidRPr="0008580C" w:rsidTr="00F85A6F">
        <w:tc>
          <w:tcPr>
            <w:tcW w:w="3827" w:type="dxa"/>
          </w:tcPr>
          <w:p w:rsidR="0008580C" w:rsidRPr="0008580C" w:rsidRDefault="0008580C" w:rsidP="00ED0B76">
            <w:pPr>
              <w:spacing w:before="0" w:after="0"/>
            </w:pPr>
            <w:r w:rsidRPr="0008580C">
              <w:t>HealthStats Australia</w:t>
            </w:r>
          </w:p>
        </w:tc>
        <w:tc>
          <w:tcPr>
            <w:tcW w:w="4508" w:type="dxa"/>
          </w:tcPr>
          <w:p w:rsidR="0008580C" w:rsidRPr="0008580C" w:rsidRDefault="0008580C" w:rsidP="00ED0B76">
            <w:pPr>
              <w:spacing w:before="0" w:after="0"/>
              <w:rPr>
                <w:szCs w:val="20"/>
              </w:rPr>
            </w:pPr>
            <w:r w:rsidRPr="0008580C">
              <w:rPr>
                <w:color w:val="333333"/>
                <w:szCs w:val="20"/>
                <w:shd w:val="clear" w:color="auto" w:fill="FFFFFF"/>
              </w:rPr>
              <w:t>HealthSTATS International Pte Ltd</w:t>
            </w:r>
          </w:p>
        </w:tc>
      </w:tr>
      <w:tr w:rsidR="0008580C" w:rsidRPr="0008580C" w:rsidTr="00F85A6F">
        <w:tc>
          <w:tcPr>
            <w:tcW w:w="3827" w:type="dxa"/>
          </w:tcPr>
          <w:p w:rsidR="0008580C" w:rsidRPr="0008580C" w:rsidRDefault="0008580C" w:rsidP="00ED0B76">
            <w:pPr>
              <w:spacing w:before="0" w:after="0"/>
            </w:pPr>
            <w:r w:rsidRPr="0008580C">
              <w:t>Atcor Medical Pty Ltd</w:t>
            </w:r>
          </w:p>
        </w:tc>
        <w:tc>
          <w:tcPr>
            <w:tcW w:w="4508" w:type="dxa"/>
          </w:tcPr>
          <w:p w:rsidR="0008580C" w:rsidRPr="0008580C" w:rsidRDefault="0008580C" w:rsidP="00ED0B76">
            <w:pPr>
              <w:spacing w:before="0" w:after="0"/>
            </w:pPr>
            <w:r w:rsidRPr="0008580C">
              <w:t>SunTech Medical Inc</w:t>
            </w:r>
          </w:p>
        </w:tc>
      </w:tr>
      <w:tr w:rsidR="0008580C" w:rsidRPr="0008580C" w:rsidTr="00F85A6F">
        <w:tc>
          <w:tcPr>
            <w:tcW w:w="3827" w:type="dxa"/>
          </w:tcPr>
          <w:p w:rsidR="0008580C" w:rsidRPr="0008580C" w:rsidRDefault="0008580C" w:rsidP="00ED0B76">
            <w:pPr>
              <w:spacing w:before="0" w:after="0"/>
            </w:pPr>
            <w:r w:rsidRPr="0008580C">
              <w:t>Australian Sales and Trade Services (ASTS)</w:t>
            </w:r>
          </w:p>
        </w:tc>
        <w:tc>
          <w:tcPr>
            <w:tcW w:w="4508" w:type="dxa"/>
          </w:tcPr>
          <w:p w:rsidR="0008580C" w:rsidRPr="0008580C" w:rsidRDefault="0008580C" w:rsidP="00ED0B76">
            <w:pPr>
              <w:spacing w:before="0" w:after="0"/>
            </w:pPr>
            <w:r w:rsidRPr="0008580C">
              <w:t>Andon Health Co Ltd</w:t>
            </w:r>
          </w:p>
        </w:tc>
      </w:tr>
      <w:tr w:rsidR="0008580C" w:rsidRPr="0008580C" w:rsidTr="00F85A6F">
        <w:tc>
          <w:tcPr>
            <w:tcW w:w="3827" w:type="dxa"/>
          </w:tcPr>
          <w:p w:rsidR="0008580C" w:rsidRPr="0008580C" w:rsidRDefault="0008580C" w:rsidP="00ED0B76">
            <w:pPr>
              <w:spacing w:before="0" w:after="0"/>
            </w:pPr>
            <w:r w:rsidRPr="0008580C">
              <w:t>Core Diagnostics Pty Ltd</w:t>
            </w:r>
          </w:p>
        </w:tc>
        <w:tc>
          <w:tcPr>
            <w:tcW w:w="4508" w:type="dxa"/>
          </w:tcPr>
          <w:p w:rsidR="0008580C" w:rsidRPr="0008580C" w:rsidRDefault="0008580C" w:rsidP="00ED0B76">
            <w:pPr>
              <w:spacing w:before="0" w:after="0"/>
            </w:pPr>
            <w:r w:rsidRPr="0008580C">
              <w:t>DM Systems (Beijing) Co Limited</w:t>
            </w:r>
          </w:p>
        </w:tc>
      </w:tr>
      <w:tr w:rsidR="0008580C" w:rsidRPr="0008580C" w:rsidTr="00F85A6F">
        <w:tc>
          <w:tcPr>
            <w:tcW w:w="3827" w:type="dxa"/>
          </w:tcPr>
          <w:p w:rsidR="0008580C" w:rsidRPr="0008580C" w:rsidRDefault="0008580C" w:rsidP="00ED0B76">
            <w:pPr>
              <w:spacing w:before="0" w:after="0"/>
            </w:pPr>
            <w:r w:rsidRPr="0008580C">
              <w:t>Ecomed Pty Ltd</w:t>
            </w:r>
          </w:p>
        </w:tc>
        <w:tc>
          <w:tcPr>
            <w:tcW w:w="4508" w:type="dxa"/>
          </w:tcPr>
          <w:p w:rsidR="0008580C" w:rsidRPr="0008580C" w:rsidRDefault="0008580C" w:rsidP="00ED0B76">
            <w:pPr>
              <w:spacing w:before="0" w:after="0"/>
            </w:pPr>
            <w:r w:rsidRPr="0008580C">
              <w:t>Spacelabs Healthcare Inc</w:t>
            </w:r>
          </w:p>
        </w:tc>
      </w:tr>
      <w:tr w:rsidR="0008580C" w:rsidRPr="0008580C" w:rsidTr="00F85A6F">
        <w:tc>
          <w:tcPr>
            <w:tcW w:w="3827" w:type="dxa"/>
          </w:tcPr>
          <w:p w:rsidR="0008580C" w:rsidRPr="0008580C" w:rsidRDefault="0008580C" w:rsidP="00ED0B76">
            <w:pPr>
              <w:spacing w:before="0" w:after="0"/>
            </w:pPr>
            <w:r w:rsidRPr="0008580C">
              <w:t>Cellmed Pty Ltd</w:t>
            </w:r>
          </w:p>
        </w:tc>
        <w:tc>
          <w:tcPr>
            <w:tcW w:w="4508" w:type="dxa"/>
          </w:tcPr>
          <w:p w:rsidR="0008580C" w:rsidRPr="0008580C" w:rsidRDefault="0008580C" w:rsidP="00ED0B76">
            <w:pPr>
              <w:spacing w:before="0" w:after="0"/>
            </w:pPr>
            <w:r w:rsidRPr="0008580C">
              <w:t>SunTech Medical Inc</w:t>
            </w:r>
          </w:p>
        </w:tc>
      </w:tr>
      <w:tr w:rsidR="0008580C" w:rsidRPr="0008580C" w:rsidTr="00F85A6F">
        <w:tc>
          <w:tcPr>
            <w:tcW w:w="3827" w:type="dxa"/>
          </w:tcPr>
          <w:p w:rsidR="0008580C" w:rsidRPr="0008580C" w:rsidRDefault="0008580C" w:rsidP="00ED0B76">
            <w:pPr>
              <w:spacing w:before="0" w:after="0"/>
            </w:pPr>
            <w:r w:rsidRPr="0008580C">
              <w:t>A &amp; D Australasia Pty Ltd</w:t>
            </w:r>
          </w:p>
        </w:tc>
        <w:tc>
          <w:tcPr>
            <w:tcW w:w="4508" w:type="dxa"/>
          </w:tcPr>
          <w:p w:rsidR="0008580C" w:rsidRPr="0008580C" w:rsidRDefault="0008580C" w:rsidP="00ED0B76">
            <w:pPr>
              <w:spacing w:before="0" w:after="0"/>
            </w:pPr>
            <w:r w:rsidRPr="0008580C">
              <w:t>A &amp; D Co Ltd</w:t>
            </w:r>
          </w:p>
        </w:tc>
      </w:tr>
      <w:tr w:rsidR="0008580C" w:rsidRPr="0008580C" w:rsidTr="00F85A6F">
        <w:tc>
          <w:tcPr>
            <w:tcW w:w="3827" w:type="dxa"/>
          </w:tcPr>
          <w:p w:rsidR="0008580C" w:rsidRPr="0008580C" w:rsidRDefault="0008580C" w:rsidP="00ED0B76">
            <w:pPr>
              <w:spacing w:before="0" w:after="0"/>
            </w:pPr>
            <w:r w:rsidRPr="0008580C">
              <w:t>Welch Allyn Australia Pty Limited</w:t>
            </w:r>
          </w:p>
        </w:tc>
        <w:tc>
          <w:tcPr>
            <w:tcW w:w="4508" w:type="dxa"/>
          </w:tcPr>
          <w:p w:rsidR="0008580C" w:rsidRPr="0008580C" w:rsidRDefault="0008580C" w:rsidP="00ED0B76">
            <w:pPr>
              <w:spacing w:before="0" w:after="0"/>
            </w:pPr>
            <w:r w:rsidRPr="0008580C">
              <w:t>IEM GmbH Industrielle Entwicklung Medizintechnik und Vertriebsgesellschaft mbH</w:t>
            </w:r>
          </w:p>
        </w:tc>
      </w:tr>
      <w:tr w:rsidR="0008580C" w:rsidRPr="0008580C" w:rsidTr="00F85A6F">
        <w:tc>
          <w:tcPr>
            <w:tcW w:w="3827" w:type="dxa"/>
          </w:tcPr>
          <w:p w:rsidR="0008580C" w:rsidRPr="0008580C" w:rsidRDefault="0008580C" w:rsidP="00ED0B76">
            <w:pPr>
              <w:spacing w:before="0" w:after="0"/>
            </w:pPr>
            <w:r w:rsidRPr="0008580C">
              <w:t>Cardioscan Services Pty Ltd</w:t>
            </w:r>
          </w:p>
        </w:tc>
        <w:tc>
          <w:tcPr>
            <w:tcW w:w="4508" w:type="dxa"/>
          </w:tcPr>
          <w:p w:rsidR="0008580C" w:rsidRPr="0008580C" w:rsidRDefault="0008580C" w:rsidP="00ED0B76">
            <w:pPr>
              <w:spacing w:before="0" w:after="0"/>
            </w:pPr>
            <w:r w:rsidRPr="0008580C">
              <w:t>IEM GmbH Industrielle Entwicklung Medizintechnik und Vertriebsgesellschaft mbH</w:t>
            </w:r>
          </w:p>
        </w:tc>
      </w:tr>
      <w:tr w:rsidR="0008580C" w:rsidRPr="0008580C" w:rsidTr="00F85A6F">
        <w:tc>
          <w:tcPr>
            <w:tcW w:w="3827" w:type="dxa"/>
          </w:tcPr>
          <w:p w:rsidR="0008580C" w:rsidRPr="0008580C" w:rsidRDefault="0008580C" w:rsidP="00ED0B76">
            <w:pPr>
              <w:spacing w:before="0" w:after="0"/>
            </w:pPr>
            <w:r w:rsidRPr="0008580C">
              <w:t>GE Healthcare Australia Pty Ltd</w:t>
            </w:r>
          </w:p>
        </w:tc>
        <w:tc>
          <w:tcPr>
            <w:tcW w:w="4508" w:type="dxa"/>
          </w:tcPr>
          <w:p w:rsidR="0008580C" w:rsidRPr="0008580C" w:rsidRDefault="0008580C" w:rsidP="00ED0B76">
            <w:pPr>
              <w:spacing w:before="0" w:after="0"/>
            </w:pPr>
            <w:r w:rsidRPr="0008580C">
              <w:t>GE Medical Systems Information Technologies</w:t>
            </w:r>
          </w:p>
        </w:tc>
      </w:tr>
      <w:tr w:rsidR="0008580C" w:rsidRPr="0008580C" w:rsidTr="00F85A6F">
        <w:tc>
          <w:tcPr>
            <w:tcW w:w="3827" w:type="dxa"/>
          </w:tcPr>
          <w:p w:rsidR="0008580C" w:rsidRPr="0008580C" w:rsidRDefault="0008580C" w:rsidP="00ED0B76">
            <w:pPr>
              <w:spacing w:before="0" w:after="0"/>
            </w:pPr>
            <w:r w:rsidRPr="0008580C">
              <w:t>InMed Healthcare Pty Ltd</w:t>
            </w:r>
          </w:p>
        </w:tc>
        <w:tc>
          <w:tcPr>
            <w:tcW w:w="4508" w:type="dxa"/>
          </w:tcPr>
          <w:p w:rsidR="0008580C" w:rsidRPr="0008580C" w:rsidRDefault="0008580C" w:rsidP="00ED0B76">
            <w:pPr>
              <w:spacing w:before="0" w:after="0"/>
            </w:pPr>
            <w:r w:rsidRPr="0008580C">
              <w:t>Meditech KFT</w:t>
            </w:r>
          </w:p>
        </w:tc>
      </w:tr>
    </w:tbl>
    <w:p w:rsidR="00E82F54" w:rsidRDefault="00E82F54" w:rsidP="00530204">
      <w:pPr>
        <w:pStyle w:val="Heading2"/>
      </w:pPr>
      <w:r w:rsidRPr="00154B00">
        <w:t>Nominate two experts who could be approached about the proposed medical service and the current clinical management of the service(s):</w:t>
      </w:r>
    </w:p>
    <w:p w:rsidR="00987ABE" w:rsidRPr="00987ABE" w:rsidRDefault="00987ABE" w:rsidP="00ED0B76">
      <w:pPr>
        <w:spacing w:after="0"/>
        <w:ind w:left="425"/>
        <w:rPr>
          <w:szCs w:val="20"/>
        </w:rPr>
      </w:pPr>
      <w:r>
        <w:rPr>
          <w:szCs w:val="20"/>
        </w:rPr>
        <w:t xml:space="preserve">Name of expert 1: </w:t>
      </w:r>
      <w:r w:rsidR="00AC266B">
        <w:t>REDACTED</w:t>
      </w:r>
    </w:p>
    <w:p w:rsidR="00987ABE" w:rsidRPr="00987ABE" w:rsidRDefault="00987ABE" w:rsidP="00ED0B76">
      <w:pPr>
        <w:spacing w:after="0"/>
        <w:ind w:left="425"/>
        <w:rPr>
          <w:szCs w:val="20"/>
        </w:rPr>
      </w:pPr>
      <w:r>
        <w:rPr>
          <w:szCs w:val="20"/>
        </w:rPr>
        <w:t xml:space="preserve">Telephone number(s): </w:t>
      </w:r>
      <w:r w:rsidR="00AC266B">
        <w:t>REDACTED</w:t>
      </w:r>
    </w:p>
    <w:p w:rsidR="00AC266B" w:rsidRDefault="00987ABE" w:rsidP="00ED0B76">
      <w:pPr>
        <w:spacing w:after="0"/>
        <w:ind w:left="425"/>
        <w:rPr>
          <w:szCs w:val="20"/>
        </w:rPr>
      </w:pPr>
      <w:r>
        <w:rPr>
          <w:szCs w:val="20"/>
        </w:rPr>
        <w:t xml:space="preserve">Email address: </w:t>
      </w:r>
      <w:r w:rsidR="00AC266B">
        <w:t>REDACTED</w:t>
      </w:r>
      <w:r w:rsidR="00AC266B">
        <w:rPr>
          <w:szCs w:val="20"/>
        </w:rPr>
        <w:t xml:space="preserve"> </w:t>
      </w:r>
    </w:p>
    <w:p w:rsidR="00987ABE" w:rsidRPr="00987ABE" w:rsidRDefault="00987ABE" w:rsidP="00ED0B76">
      <w:pPr>
        <w:spacing w:after="0"/>
        <w:ind w:left="425"/>
        <w:rPr>
          <w:szCs w:val="20"/>
        </w:rPr>
      </w:pPr>
      <w:r>
        <w:rPr>
          <w:szCs w:val="20"/>
        </w:rPr>
        <w:t xml:space="preserve">Justification of expertise: </w:t>
      </w:r>
      <w:r w:rsidR="00AC266B">
        <w:t>REDACTED</w:t>
      </w:r>
    </w:p>
    <w:p w:rsidR="00987ABE" w:rsidRPr="00987ABE" w:rsidRDefault="00987ABE" w:rsidP="00ED0B76">
      <w:pPr>
        <w:spacing w:after="0"/>
        <w:ind w:left="425"/>
        <w:rPr>
          <w:szCs w:val="20"/>
        </w:rPr>
      </w:pPr>
    </w:p>
    <w:p w:rsidR="00987ABE" w:rsidRPr="00987ABE" w:rsidRDefault="00987ABE" w:rsidP="00ED0B76">
      <w:pPr>
        <w:spacing w:after="0"/>
        <w:ind w:left="426"/>
        <w:rPr>
          <w:szCs w:val="20"/>
        </w:rPr>
      </w:pPr>
      <w:r>
        <w:rPr>
          <w:szCs w:val="20"/>
        </w:rPr>
        <w:t xml:space="preserve">Name of expert 2: </w:t>
      </w:r>
      <w:r w:rsidR="00AC266B">
        <w:t>REDACTED</w:t>
      </w:r>
    </w:p>
    <w:p w:rsidR="00987ABE" w:rsidRPr="00987ABE" w:rsidRDefault="00987ABE" w:rsidP="00ED0B76">
      <w:pPr>
        <w:spacing w:after="0"/>
        <w:ind w:left="426"/>
        <w:rPr>
          <w:szCs w:val="20"/>
        </w:rPr>
      </w:pPr>
      <w:r>
        <w:rPr>
          <w:szCs w:val="20"/>
        </w:rPr>
        <w:t xml:space="preserve">Telephone number(s): </w:t>
      </w:r>
      <w:r w:rsidR="00AC266B">
        <w:t>REDACTED</w:t>
      </w:r>
    </w:p>
    <w:p w:rsidR="00987ABE" w:rsidRDefault="00987ABE" w:rsidP="00ED0B76">
      <w:pPr>
        <w:spacing w:after="0"/>
        <w:ind w:left="426"/>
        <w:rPr>
          <w:szCs w:val="20"/>
        </w:rPr>
      </w:pPr>
      <w:r>
        <w:rPr>
          <w:szCs w:val="20"/>
        </w:rPr>
        <w:t xml:space="preserve">Email address: </w:t>
      </w:r>
      <w:r w:rsidR="00AC266B">
        <w:t>REDACTED</w:t>
      </w:r>
    </w:p>
    <w:p w:rsidR="00ED0B76" w:rsidRDefault="00987ABE" w:rsidP="00ED0B76">
      <w:pPr>
        <w:spacing w:after="0"/>
        <w:ind w:left="2552" w:hanging="2126"/>
        <w:rPr>
          <w:szCs w:val="20"/>
        </w:rPr>
      </w:pPr>
      <w:r>
        <w:rPr>
          <w:szCs w:val="20"/>
        </w:rPr>
        <w:t xml:space="preserve">Justification of expertise: </w:t>
      </w:r>
      <w:r w:rsidR="00AC266B">
        <w:t>REDACTED</w:t>
      </w:r>
    </w:p>
    <w:p w:rsidR="00E82F54" w:rsidRPr="00EA173C" w:rsidRDefault="00F93784" w:rsidP="00A96329">
      <w:pPr>
        <w:pStyle w:val="Heading1"/>
      </w:pPr>
      <w:r>
        <w:lastRenderedPageBreak/>
        <w:t>PAR</w:t>
      </w:r>
      <w:r w:rsidR="005C3AE7">
        <w:t>T 6</w:t>
      </w:r>
      <w:r>
        <w:t xml:space="preserve"> – POPULATION</w:t>
      </w:r>
      <w:r w:rsidR="000525BC">
        <w:t xml:space="preserve"> (AND PRIOR TESTS)</w:t>
      </w:r>
      <w:r>
        <w:t>, INDICATION, COMPARATOR, OUTCOME (PICO)</w:t>
      </w:r>
    </w:p>
    <w:p w:rsidR="0021185D" w:rsidRPr="005C3AE7" w:rsidRDefault="005C3AE7" w:rsidP="005C3AE7">
      <w:pPr>
        <w:pStyle w:val="Subtitle"/>
      </w:pPr>
      <w:r w:rsidRPr="005C3AE7">
        <w:t xml:space="preserve">PART 6a – </w:t>
      </w:r>
      <w:r w:rsidR="0021185D" w:rsidRPr="005C3AE7">
        <w:t>INFORMATION ABOUT THE PROPOSED POPULATION</w:t>
      </w:r>
    </w:p>
    <w:p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rsidR="00B722A3" w:rsidRPr="00625CBA" w:rsidRDefault="00B722A3" w:rsidP="00B722A3">
      <w:pPr>
        <w:ind w:left="426"/>
        <w:jc w:val="both"/>
        <w:rPr>
          <w:szCs w:val="20"/>
        </w:rPr>
      </w:pPr>
      <w:r w:rsidRPr="00625CBA">
        <w:rPr>
          <w:szCs w:val="20"/>
        </w:rPr>
        <w:t>High blood pressure is defined by a</w:t>
      </w:r>
      <w:r w:rsidR="00625CBA" w:rsidRPr="00625CBA">
        <w:rPr>
          <w:szCs w:val="20"/>
        </w:rPr>
        <w:t xml:space="preserve"> measurement taken that ≥ 140/90</w:t>
      </w:r>
      <w:r w:rsidRPr="00625CBA">
        <w:rPr>
          <w:szCs w:val="20"/>
        </w:rPr>
        <w:t>mmHg.</w:t>
      </w:r>
      <w:r w:rsidR="00E3170B" w:rsidRPr="00625CBA">
        <w:rPr>
          <w:szCs w:val="20"/>
        </w:rPr>
        <w:t xml:space="preserve">  The measurement of BP is usually taken using a sphygmomanometer as part of a standard consultation.  However, there are two groups of patients that are known to give </w:t>
      </w:r>
      <w:r w:rsidR="00625CBA" w:rsidRPr="00625CBA">
        <w:rPr>
          <w:szCs w:val="20"/>
        </w:rPr>
        <w:t>misleading</w:t>
      </w:r>
      <w:r w:rsidR="00E3170B" w:rsidRPr="00625CBA">
        <w:rPr>
          <w:szCs w:val="20"/>
        </w:rPr>
        <w:t xml:space="preserve"> results.</w:t>
      </w:r>
    </w:p>
    <w:p w:rsidR="002A6753" w:rsidRDefault="00B722A3" w:rsidP="00625CBA">
      <w:pPr>
        <w:pStyle w:val="ListParagraph"/>
        <w:numPr>
          <w:ilvl w:val="0"/>
          <w:numId w:val="45"/>
        </w:numPr>
        <w:ind w:left="850" w:hanging="357"/>
        <w:contextualSpacing w:val="0"/>
        <w:jc w:val="both"/>
        <w:rPr>
          <w:szCs w:val="20"/>
        </w:rPr>
      </w:pPr>
      <w:r w:rsidRPr="00E3170B">
        <w:rPr>
          <w:szCs w:val="20"/>
        </w:rPr>
        <w:t>Masked hypertension refers to the situation in which clinic measurements are normal but ABP measurements are elevated, which occurs up to 10% of the general population.</w:t>
      </w:r>
    </w:p>
    <w:p w:rsidR="00B722A3" w:rsidRDefault="00B722A3" w:rsidP="00625CBA">
      <w:pPr>
        <w:pStyle w:val="ListParagraph"/>
        <w:numPr>
          <w:ilvl w:val="0"/>
          <w:numId w:val="45"/>
        </w:numPr>
        <w:ind w:left="850" w:hanging="357"/>
        <w:contextualSpacing w:val="0"/>
        <w:jc w:val="both"/>
        <w:rPr>
          <w:szCs w:val="20"/>
        </w:rPr>
      </w:pPr>
      <w:r w:rsidRPr="00E3170B">
        <w:rPr>
          <w:szCs w:val="20"/>
        </w:rPr>
        <w:t xml:space="preserve">White-coat hypertension (isolated clinic hypertension) refers to the condition in which a person meets criteria for hypertension when measured in the clinic but shows normal BP levels when measured at home or by ABP monitoring.  It occurs in </w:t>
      </w:r>
      <w:r w:rsidR="00C12808">
        <w:rPr>
          <w:szCs w:val="20"/>
        </w:rPr>
        <w:t>approximately 10-</w:t>
      </w:r>
      <w:r w:rsidRPr="00E3170B">
        <w:rPr>
          <w:szCs w:val="20"/>
        </w:rPr>
        <w:t>20% of the general population.</w:t>
      </w:r>
    </w:p>
    <w:p w:rsidR="00E3170B" w:rsidRPr="00E3170B" w:rsidRDefault="00E3170B" w:rsidP="00E3170B">
      <w:pPr>
        <w:spacing w:after="0"/>
        <w:ind w:left="426"/>
        <w:jc w:val="both"/>
        <w:rPr>
          <w:szCs w:val="20"/>
        </w:rPr>
      </w:pPr>
      <w:r w:rsidRPr="00E3170B">
        <w:rPr>
          <w:szCs w:val="20"/>
        </w:rPr>
        <w:t xml:space="preserve">In 2003, high blood pressure was the greatest attributor to the burden of Cardiovascular disease (CVD) accounting for 42.1% of CVD’s total burden. </w:t>
      </w:r>
    </w:p>
    <w:p w:rsidR="00E3170B" w:rsidRPr="00E3170B" w:rsidRDefault="00E3170B" w:rsidP="00E3170B">
      <w:pPr>
        <w:spacing w:after="0"/>
        <w:ind w:left="426"/>
        <w:jc w:val="both"/>
        <w:rPr>
          <w:szCs w:val="20"/>
        </w:rPr>
      </w:pPr>
      <w:r w:rsidRPr="00E3170B">
        <w:rPr>
          <w:szCs w:val="20"/>
        </w:rPr>
        <w:t>CVD accounts for 15 percent of the total burden of disease in Australia, second only to cancers at 19 percent of the total burden.</w:t>
      </w:r>
    </w:p>
    <w:p w:rsidR="00E3170B" w:rsidRPr="00E3170B" w:rsidRDefault="00E3170B" w:rsidP="00E3170B">
      <w:pPr>
        <w:spacing w:after="0"/>
        <w:ind w:left="426"/>
        <w:jc w:val="both"/>
        <w:rPr>
          <w:szCs w:val="20"/>
        </w:rPr>
      </w:pPr>
      <w:r w:rsidRPr="00E3170B">
        <w:rPr>
          <w:szCs w:val="20"/>
        </w:rPr>
        <w:t>In 2012-13, $5.0 billion was spent providing health care to admitted patients with CVD. This accounted for 11.1 percent of total admitted health expenditure – the largest share of health expenditure of any disease group.</w:t>
      </w:r>
    </w:p>
    <w:p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rsidR="00AA5FDA" w:rsidRPr="00725B32" w:rsidRDefault="00725B32" w:rsidP="00725B32">
      <w:pPr>
        <w:ind w:left="426"/>
        <w:rPr>
          <w:szCs w:val="20"/>
        </w:rPr>
      </w:pPr>
      <w:r w:rsidRPr="00725B32">
        <w:rPr>
          <w:szCs w:val="20"/>
        </w:rPr>
        <w:t>Patients who have a clinic BP measurement ≥ 140/90mmHg and ≤ 180/110mmHg.</w:t>
      </w:r>
    </w:p>
    <w:p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rsidR="00725B32" w:rsidRPr="00441031" w:rsidRDefault="00725B32" w:rsidP="00725B32">
      <w:pPr>
        <w:ind w:left="426"/>
        <w:jc w:val="both"/>
        <w:rPr>
          <w:szCs w:val="20"/>
        </w:rPr>
      </w:pPr>
      <w:r w:rsidRPr="00441031">
        <w:rPr>
          <w:szCs w:val="20"/>
        </w:rPr>
        <w:t>Currently, the management of hypertension is based on a clinic BP reading tak</w:t>
      </w:r>
      <w:r w:rsidR="00C12808" w:rsidRPr="00441031">
        <w:rPr>
          <w:szCs w:val="20"/>
        </w:rPr>
        <w:t>en</w:t>
      </w:r>
      <w:r w:rsidRPr="00441031">
        <w:rPr>
          <w:szCs w:val="20"/>
        </w:rPr>
        <w:t xml:space="preserve"> in the doctor’s rooms or patient’s home.  This measurement is taken using a standard sphygmomanometer and is usually part of a standard consultation.</w:t>
      </w:r>
    </w:p>
    <w:p w:rsidR="00BC424B" w:rsidRPr="00BC424B" w:rsidRDefault="00BC424B" w:rsidP="00D73646">
      <w:pPr>
        <w:ind w:left="426"/>
      </w:pPr>
    </w:p>
    <w:p w:rsidR="002A50FD" w:rsidRPr="00881F93" w:rsidRDefault="005C3AE7" w:rsidP="005C3AE7">
      <w:pPr>
        <w:pStyle w:val="Subtitle"/>
      </w:pPr>
      <w:r>
        <w:t xml:space="preserve">PART 6b – </w:t>
      </w:r>
      <w:r w:rsidR="002A50FD" w:rsidRPr="00881F93">
        <w:t>INFORMATION ABOUT THE INTERVENTION</w:t>
      </w:r>
    </w:p>
    <w:p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rsidR="00D520AC" w:rsidRPr="00D520AC" w:rsidRDefault="00D520AC" w:rsidP="00725B32">
      <w:pPr>
        <w:ind w:left="426"/>
        <w:jc w:val="both"/>
        <w:rPr>
          <w:szCs w:val="20"/>
          <w:u w:val="single"/>
        </w:rPr>
      </w:pPr>
      <w:r w:rsidRPr="00D520AC">
        <w:rPr>
          <w:szCs w:val="20"/>
          <w:u w:val="single"/>
        </w:rPr>
        <w:t>Standard consultation</w:t>
      </w:r>
    </w:p>
    <w:p w:rsidR="002A50FD" w:rsidRDefault="00ED0B76" w:rsidP="00725B32">
      <w:pPr>
        <w:ind w:left="426"/>
        <w:jc w:val="both"/>
        <w:rPr>
          <w:szCs w:val="20"/>
        </w:rPr>
      </w:pPr>
      <w:r>
        <w:rPr>
          <w:szCs w:val="20"/>
        </w:rPr>
        <w:t>Once it has been determined that the patient has a clinic blood pressure reading ≥ 140/90mmHg</w:t>
      </w:r>
      <w:r w:rsidR="00D520AC">
        <w:rPr>
          <w:szCs w:val="20"/>
        </w:rPr>
        <w:t xml:space="preserve"> and </w:t>
      </w:r>
      <w:r w:rsidR="00D520AC" w:rsidRPr="00D520AC">
        <w:rPr>
          <w:szCs w:val="20"/>
        </w:rPr>
        <w:t>≤ 180/110mmHg</w:t>
      </w:r>
      <w:r w:rsidR="0084508F">
        <w:rPr>
          <w:szCs w:val="20"/>
        </w:rPr>
        <w:t xml:space="preserve">, </w:t>
      </w:r>
      <w:r w:rsidR="00D520AC">
        <w:rPr>
          <w:szCs w:val="20"/>
        </w:rPr>
        <w:t xml:space="preserve">using the clinic sphygmomanometer </w:t>
      </w:r>
      <w:r w:rsidR="0084508F">
        <w:rPr>
          <w:szCs w:val="20"/>
        </w:rPr>
        <w:t xml:space="preserve">the General Practitioner or </w:t>
      </w:r>
      <w:r w:rsidR="00D520AC">
        <w:rPr>
          <w:szCs w:val="20"/>
        </w:rPr>
        <w:t xml:space="preserve">Specialist </w:t>
      </w:r>
      <w:r w:rsidR="006F63CF">
        <w:rPr>
          <w:szCs w:val="20"/>
        </w:rPr>
        <w:t xml:space="preserve">in </w:t>
      </w:r>
      <w:r w:rsidR="00D520AC">
        <w:rPr>
          <w:szCs w:val="20"/>
        </w:rPr>
        <w:t>H</w:t>
      </w:r>
      <w:r w:rsidR="006F63CF">
        <w:rPr>
          <w:szCs w:val="20"/>
        </w:rPr>
        <w:t>ypertension</w:t>
      </w:r>
      <w:r w:rsidR="0084508F">
        <w:rPr>
          <w:szCs w:val="20"/>
        </w:rPr>
        <w:t xml:space="preserve"> </w:t>
      </w:r>
      <w:r w:rsidR="00D520AC">
        <w:rPr>
          <w:szCs w:val="20"/>
        </w:rPr>
        <w:t>has</w:t>
      </w:r>
      <w:r w:rsidR="0084508F">
        <w:rPr>
          <w:szCs w:val="20"/>
        </w:rPr>
        <w:t xml:space="preserve"> the patient fitted with an ambulatory blood pressure monitor (ABPM) including giving instructions to the patient about wearing the device for the next 24 hours.</w:t>
      </w:r>
      <w:r w:rsidR="00854E86">
        <w:rPr>
          <w:szCs w:val="20"/>
        </w:rPr>
        <w:t xml:space="preserve">  </w:t>
      </w:r>
    </w:p>
    <w:p w:rsidR="00D520AC" w:rsidRPr="000A35E7" w:rsidRDefault="00D520AC" w:rsidP="00725B32">
      <w:pPr>
        <w:ind w:left="426"/>
        <w:jc w:val="both"/>
        <w:rPr>
          <w:szCs w:val="20"/>
          <w:u w:val="single"/>
        </w:rPr>
      </w:pPr>
      <w:r w:rsidRPr="000A35E7">
        <w:rPr>
          <w:szCs w:val="20"/>
          <w:u w:val="single"/>
        </w:rPr>
        <w:t>Proposed service</w:t>
      </w:r>
    </w:p>
    <w:p w:rsidR="0084508F" w:rsidRPr="000A35E7" w:rsidRDefault="00460C43" w:rsidP="00725B32">
      <w:pPr>
        <w:ind w:left="426"/>
        <w:jc w:val="both"/>
        <w:rPr>
          <w:szCs w:val="20"/>
        </w:rPr>
      </w:pPr>
      <w:r w:rsidRPr="000A35E7">
        <w:rPr>
          <w:szCs w:val="20"/>
        </w:rPr>
        <w:t>The proposed diagnostic service starts when t</w:t>
      </w:r>
      <w:r w:rsidR="0084508F" w:rsidRPr="000A35E7">
        <w:rPr>
          <w:szCs w:val="20"/>
        </w:rPr>
        <w:t xml:space="preserve">he patient returns to the clinic / doctors rooms </w:t>
      </w:r>
      <w:r w:rsidRPr="000A35E7">
        <w:rPr>
          <w:szCs w:val="20"/>
        </w:rPr>
        <w:t xml:space="preserve">after </w:t>
      </w:r>
      <w:r w:rsidR="00D520AC" w:rsidRPr="000A35E7">
        <w:rPr>
          <w:szCs w:val="20"/>
        </w:rPr>
        <w:t xml:space="preserve">≥ </w:t>
      </w:r>
      <w:r w:rsidRPr="000A35E7">
        <w:rPr>
          <w:szCs w:val="20"/>
        </w:rPr>
        <w:t>24 hours</w:t>
      </w:r>
      <w:r w:rsidR="0084508F" w:rsidRPr="000A35E7">
        <w:rPr>
          <w:szCs w:val="20"/>
        </w:rPr>
        <w:t xml:space="preserve"> </w:t>
      </w:r>
      <w:r w:rsidRPr="000A35E7">
        <w:rPr>
          <w:szCs w:val="20"/>
        </w:rPr>
        <w:t>and</w:t>
      </w:r>
      <w:r w:rsidR="0084508F" w:rsidRPr="000A35E7">
        <w:rPr>
          <w:szCs w:val="20"/>
        </w:rPr>
        <w:t xml:space="preserve"> the </w:t>
      </w:r>
      <w:r w:rsidR="00D520AC" w:rsidRPr="000A35E7">
        <w:rPr>
          <w:szCs w:val="20"/>
        </w:rPr>
        <w:t>monitor</w:t>
      </w:r>
      <w:r w:rsidR="0084508F" w:rsidRPr="000A35E7">
        <w:rPr>
          <w:szCs w:val="20"/>
        </w:rPr>
        <w:t xml:space="preserve"> is removed.   The General Practitioner </w:t>
      </w:r>
      <w:r w:rsidR="00C12808" w:rsidRPr="000A35E7">
        <w:rPr>
          <w:szCs w:val="20"/>
        </w:rPr>
        <w:t>or</w:t>
      </w:r>
      <w:r w:rsidR="0084508F" w:rsidRPr="000A35E7">
        <w:rPr>
          <w:szCs w:val="20"/>
        </w:rPr>
        <w:t xml:space="preserve"> </w:t>
      </w:r>
      <w:r w:rsidR="00D520AC" w:rsidRPr="000A35E7">
        <w:rPr>
          <w:szCs w:val="20"/>
        </w:rPr>
        <w:t>Specialist in H</w:t>
      </w:r>
      <w:r w:rsidR="006F63CF" w:rsidRPr="000A35E7">
        <w:rPr>
          <w:szCs w:val="20"/>
        </w:rPr>
        <w:t>ypertension</w:t>
      </w:r>
      <w:r w:rsidR="0084508F" w:rsidRPr="000A35E7">
        <w:rPr>
          <w:szCs w:val="20"/>
        </w:rPr>
        <w:t xml:space="preserve"> downloads the </w:t>
      </w:r>
      <w:r w:rsidR="0084508F" w:rsidRPr="000A35E7">
        <w:rPr>
          <w:szCs w:val="20"/>
        </w:rPr>
        <w:lastRenderedPageBreak/>
        <w:t>data from the monitor, interprets</w:t>
      </w:r>
      <w:r w:rsidR="00D520AC" w:rsidRPr="000A35E7">
        <w:rPr>
          <w:szCs w:val="20"/>
        </w:rPr>
        <w:t xml:space="preserve"> and reviews</w:t>
      </w:r>
      <w:r w:rsidR="0084508F" w:rsidRPr="000A35E7">
        <w:rPr>
          <w:szCs w:val="20"/>
        </w:rPr>
        <w:t xml:space="preserve"> the results</w:t>
      </w:r>
      <w:r w:rsidR="00D520AC" w:rsidRPr="000A35E7">
        <w:rPr>
          <w:szCs w:val="20"/>
        </w:rPr>
        <w:t>, creates a report and puts together a patient management plan.</w:t>
      </w:r>
    </w:p>
    <w:p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rsidR="002A6753" w:rsidRPr="00154B00" w:rsidRDefault="0084508F" w:rsidP="00E357B9">
      <w:pPr>
        <w:ind w:left="426"/>
        <w:rPr>
          <w:szCs w:val="20"/>
        </w:rPr>
      </w:pPr>
      <w:r>
        <w:rPr>
          <w:szCs w:val="20"/>
        </w:rPr>
        <w:t xml:space="preserve">Currently there are eleven different brands of ABPM available in Australia.  </w:t>
      </w:r>
      <w:r w:rsidRPr="0084508F">
        <w:rPr>
          <w:i/>
          <w:szCs w:val="20"/>
        </w:rPr>
        <w:t>See answer to Question 22.</w:t>
      </w:r>
    </w:p>
    <w:p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rsidR="00DF0C51" w:rsidRPr="0084508F" w:rsidRDefault="0084508F" w:rsidP="00E357B9">
      <w:pPr>
        <w:ind w:left="426"/>
        <w:rPr>
          <w:szCs w:val="20"/>
        </w:rPr>
      </w:pPr>
      <w:r w:rsidRPr="0084508F">
        <w:rPr>
          <w:szCs w:val="20"/>
        </w:rPr>
        <w:t>The use of ABPM is not new</w:t>
      </w:r>
      <w:r>
        <w:rPr>
          <w:szCs w:val="20"/>
        </w:rPr>
        <w:t xml:space="preserve"> and has already been incorporated into Guidelines for the management for hypertension worldwide</w:t>
      </w:r>
      <w:r w:rsidRPr="0084508F">
        <w:rPr>
          <w:szCs w:val="20"/>
        </w:rPr>
        <w:t>.</w:t>
      </w:r>
      <w:r>
        <w:rPr>
          <w:szCs w:val="20"/>
        </w:rPr>
        <w:t xml:space="preserve">  However, funding of this diagnostic test via the MBS is not currently available. </w:t>
      </w:r>
    </w:p>
    <w:p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rsidR="00CC09D7" w:rsidRDefault="0084508F" w:rsidP="00E357B9">
      <w:pPr>
        <w:ind w:left="426"/>
        <w:rPr>
          <w:szCs w:val="20"/>
        </w:rPr>
      </w:pPr>
      <w:r>
        <w:rPr>
          <w:szCs w:val="20"/>
        </w:rPr>
        <w:t>There are two proposed limitations on the provision of ABPM.</w:t>
      </w:r>
    </w:p>
    <w:p w:rsidR="0084508F" w:rsidRDefault="00725B32" w:rsidP="0084508F">
      <w:pPr>
        <w:pStyle w:val="ListParagraph"/>
        <w:numPr>
          <w:ilvl w:val="0"/>
          <w:numId w:val="44"/>
        </w:numPr>
        <w:rPr>
          <w:szCs w:val="20"/>
        </w:rPr>
      </w:pPr>
      <w:r>
        <w:rPr>
          <w:szCs w:val="20"/>
        </w:rPr>
        <w:t>A clinic BP measurement ≥ 140/90mmHg and ≤ 180/110mmHg.</w:t>
      </w:r>
    </w:p>
    <w:p w:rsidR="00725B32" w:rsidRPr="0084508F" w:rsidRDefault="00725B32" w:rsidP="0084508F">
      <w:pPr>
        <w:pStyle w:val="ListParagraph"/>
        <w:numPr>
          <w:ilvl w:val="0"/>
          <w:numId w:val="44"/>
        </w:numPr>
        <w:rPr>
          <w:szCs w:val="20"/>
        </w:rPr>
      </w:pPr>
      <w:r>
        <w:rPr>
          <w:szCs w:val="20"/>
        </w:rPr>
        <w:t>A maximum provision of the service twice in one year per patient.</w:t>
      </w:r>
    </w:p>
    <w:p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rsidR="00791C8D" w:rsidRPr="00154B00" w:rsidRDefault="00ED0B76" w:rsidP="00884E69">
      <w:pPr>
        <w:ind w:left="426"/>
        <w:rPr>
          <w:szCs w:val="20"/>
        </w:rPr>
      </w:pPr>
      <w:r>
        <w:rPr>
          <w:szCs w:val="20"/>
        </w:rPr>
        <w:t>N/A</w:t>
      </w:r>
    </w:p>
    <w:p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rsidR="00B17E26" w:rsidRPr="00154B00" w:rsidRDefault="002B7299" w:rsidP="00884E69">
      <w:pPr>
        <w:ind w:left="426"/>
        <w:rPr>
          <w:szCs w:val="20"/>
        </w:rPr>
      </w:pPr>
      <w:r>
        <w:rPr>
          <w:szCs w:val="20"/>
        </w:rPr>
        <w:t>General Practitioners</w:t>
      </w:r>
      <w:r w:rsidR="00B208FB">
        <w:rPr>
          <w:szCs w:val="20"/>
        </w:rPr>
        <w:t xml:space="preserve"> or Specialists</w:t>
      </w:r>
      <w:r w:rsidR="00ED0B76">
        <w:rPr>
          <w:szCs w:val="20"/>
        </w:rPr>
        <w:t xml:space="preserve"> in hypertension</w:t>
      </w:r>
      <w:r w:rsidR="00441031">
        <w:rPr>
          <w:szCs w:val="20"/>
        </w:rPr>
        <w:t xml:space="preserve"> management.</w:t>
      </w:r>
    </w:p>
    <w:p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rsidR="00B17E26" w:rsidRPr="000A35E7" w:rsidRDefault="00460C43" w:rsidP="00441031">
      <w:pPr>
        <w:ind w:left="426"/>
        <w:jc w:val="both"/>
        <w:rPr>
          <w:szCs w:val="20"/>
        </w:rPr>
      </w:pPr>
      <w:r w:rsidRPr="000A35E7">
        <w:rPr>
          <w:szCs w:val="20"/>
        </w:rPr>
        <w:t xml:space="preserve">No.  </w:t>
      </w:r>
      <w:r w:rsidR="000A35E7" w:rsidRPr="000A35E7">
        <w:rPr>
          <w:szCs w:val="20"/>
        </w:rPr>
        <w:t>The downloading of the data from the monitor, interpretation and review of the results, creation of a report and putting together a patient management plan</w:t>
      </w:r>
      <w:r w:rsidR="002B7299" w:rsidRPr="000A35E7">
        <w:rPr>
          <w:szCs w:val="20"/>
        </w:rPr>
        <w:t xml:space="preserve"> must be done by either a General Practitioner</w:t>
      </w:r>
      <w:r w:rsidR="009F69E1" w:rsidRPr="000A35E7">
        <w:rPr>
          <w:szCs w:val="20"/>
        </w:rPr>
        <w:t xml:space="preserve"> or </w:t>
      </w:r>
      <w:r w:rsidR="006F63CF" w:rsidRPr="000A35E7">
        <w:rPr>
          <w:szCs w:val="20"/>
        </w:rPr>
        <w:t xml:space="preserve">Specialist </w:t>
      </w:r>
      <w:r w:rsidR="000A35E7" w:rsidRPr="000A35E7">
        <w:rPr>
          <w:szCs w:val="20"/>
        </w:rPr>
        <w:t>in H</w:t>
      </w:r>
      <w:r w:rsidR="006F63CF" w:rsidRPr="000A35E7">
        <w:rPr>
          <w:szCs w:val="20"/>
        </w:rPr>
        <w:t>ypertension</w:t>
      </w:r>
      <w:r w:rsidR="00441031" w:rsidRPr="000A35E7">
        <w:rPr>
          <w:szCs w:val="20"/>
        </w:rPr>
        <w:t xml:space="preserve"> management</w:t>
      </w:r>
      <w:r w:rsidR="009F69E1" w:rsidRPr="000A35E7">
        <w:rPr>
          <w:szCs w:val="20"/>
        </w:rPr>
        <w:t>.</w:t>
      </w:r>
    </w:p>
    <w:p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rsidR="00EA0E25" w:rsidRPr="00460C43" w:rsidRDefault="000A35E7" w:rsidP="00BC424B">
      <w:pPr>
        <w:ind w:left="426"/>
        <w:rPr>
          <w:szCs w:val="20"/>
        </w:rPr>
      </w:pPr>
      <w:r>
        <w:rPr>
          <w:szCs w:val="20"/>
        </w:rPr>
        <w:t>M</w:t>
      </w:r>
      <w:r w:rsidR="009F69E1" w:rsidRPr="00460C43">
        <w:rPr>
          <w:szCs w:val="20"/>
        </w:rPr>
        <w:t xml:space="preserve">ust be done by either a General Practitioner or </w:t>
      </w:r>
      <w:r w:rsidR="006F63CF" w:rsidRPr="00460C43">
        <w:rPr>
          <w:szCs w:val="20"/>
        </w:rPr>
        <w:t xml:space="preserve">Specialist </w:t>
      </w:r>
      <w:r>
        <w:rPr>
          <w:szCs w:val="20"/>
        </w:rPr>
        <w:t>in H</w:t>
      </w:r>
      <w:r w:rsidR="006F63CF" w:rsidRPr="00460C43">
        <w:rPr>
          <w:szCs w:val="20"/>
        </w:rPr>
        <w:t>ypertension</w:t>
      </w:r>
      <w:r w:rsidR="00441031" w:rsidRPr="00460C43">
        <w:rPr>
          <w:szCs w:val="20"/>
        </w:rPr>
        <w:t xml:space="preserve"> management</w:t>
      </w:r>
      <w:r w:rsidR="009F69E1" w:rsidRPr="00460C43">
        <w:rPr>
          <w:szCs w:val="20"/>
        </w:rPr>
        <w:t>.</w:t>
      </w:r>
    </w:p>
    <w:p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rsidR="00EA0E25" w:rsidRPr="00154B00" w:rsidRDefault="00B208FB" w:rsidP="0073597B">
      <w:pPr>
        <w:ind w:left="426"/>
        <w:rPr>
          <w:szCs w:val="20"/>
        </w:rPr>
      </w:pPr>
      <w:r>
        <w:rPr>
          <w:szCs w:val="20"/>
        </w:rPr>
        <w:t>No</w:t>
      </w:r>
      <w:r w:rsidR="009F69E1">
        <w:rPr>
          <w:szCs w:val="20"/>
        </w:rPr>
        <w:t xml:space="preserve"> specific training required but the practitioner must</w:t>
      </w:r>
      <w:r>
        <w:rPr>
          <w:szCs w:val="20"/>
        </w:rPr>
        <w:t xml:space="preserve"> follow </w:t>
      </w:r>
      <w:r w:rsidR="00ED0B76">
        <w:rPr>
          <w:szCs w:val="20"/>
        </w:rPr>
        <w:t xml:space="preserve">the </w:t>
      </w:r>
      <w:r>
        <w:rPr>
          <w:szCs w:val="20"/>
        </w:rPr>
        <w:t xml:space="preserve">basic manufacturers’ </w:t>
      </w:r>
      <w:r w:rsidR="00ED0B76">
        <w:rPr>
          <w:szCs w:val="20"/>
        </w:rPr>
        <w:t>I</w:t>
      </w:r>
      <w:r>
        <w:rPr>
          <w:szCs w:val="20"/>
        </w:rPr>
        <w:t xml:space="preserve">nstructions for </w:t>
      </w:r>
      <w:r w:rsidR="00ED0B76">
        <w:rPr>
          <w:szCs w:val="20"/>
        </w:rPr>
        <w:t>U</w:t>
      </w:r>
      <w:r>
        <w:rPr>
          <w:szCs w:val="20"/>
        </w:rPr>
        <w:t>se</w:t>
      </w:r>
      <w:r w:rsidR="009F69E1">
        <w:rPr>
          <w:szCs w:val="20"/>
        </w:rPr>
        <w:t>.</w:t>
      </w:r>
      <w:r w:rsidR="00441031">
        <w:rPr>
          <w:szCs w:val="20"/>
        </w:rPr>
        <w:t xml:space="preserve">  The </w:t>
      </w:r>
      <w:r w:rsidR="00441031" w:rsidRPr="00441031">
        <w:rPr>
          <w:szCs w:val="20"/>
        </w:rPr>
        <w:t xml:space="preserve">European Society of Hypertension </w:t>
      </w:r>
      <w:r w:rsidR="00441031">
        <w:rPr>
          <w:szCs w:val="20"/>
        </w:rPr>
        <w:t xml:space="preserve">has also produced a </w:t>
      </w:r>
      <w:r w:rsidR="00441031" w:rsidRPr="00441031">
        <w:rPr>
          <w:szCs w:val="20"/>
        </w:rPr>
        <w:t>position paper on ambulatory blood pressure monitoring</w:t>
      </w:r>
      <w:r w:rsidR="00441031">
        <w:rPr>
          <w:szCs w:val="20"/>
        </w:rPr>
        <w:t xml:space="preserve"> that provides guideline for the effective use of ambulatory blood pressure monitors.  (</w:t>
      </w:r>
      <w:r w:rsidR="00441031" w:rsidRPr="00441031">
        <w:rPr>
          <w:szCs w:val="20"/>
        </w:rPr>
        <w:t>https://www.ncbi.nlm.nih.gov/pubmed/24029863</w:t>
      </w:r>
      <w:r w:rsidR="00441031">
        <w:rPr>
          <w:szCs w:val="20"/>
        </w:rPr>
        <w:t>)</w:t>
      </w:r>
    </w:p>
    <w:p w:rsidR="005F3F07" w:rsidRDefault="005C3AE7" w:rsidP="00530204">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D4A3B">
        <w:rPr>
          <w:szCs w:val="20"/>
        </w:rPr>
      </w:r>
      <w:r w:rsidR="00DD4A3B">
        <w:rPr>
          <w:szCs w:val="20"/>
        </w:rPr>
        <w:fldChar w:fldCharType="separate"/>
      </w:r>
      <w:r w:rsidRPr="000A5B32">
        <w:rPr>
          <w:szCs w:val="20"/>
        </w:rPr>
        <w:fldChar w:fldCharType="end"/>
      </w:r>
      <w:r>
        <w:rPr>
          <w:szCs w:val="20"/>
        </w:rPr>
        <w:t xml:space="preserve"> </w:t>
      </w:r>
      <w:r>
        <w:t>Inpatient private hospital</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D4A3B">
        <w:rPr>
          <w:szCs w:val="20"/>
        </w:rPr>
      </w:r>
      <w:r w:rsidR="00DD4A3B">
        <w:rPr>
          <w:szCs w:val="20"/>
        </w:rPr>
        <w:fldChar w:fldCharType="separate"/>
      </w:r>
      <w:r w:rsidRPr="000A5B32">
        <w:rPr>
          <w:szCs w:val="20"/>
        </w:rPr>
        <w:fldChar w:fldCharType="end"/>
      </w:r>
      <w:r>
        <w:rPr>
          <w:szCs w:val="20"/>
        </w:rPr>
        <w:t xml:space="preserve"> </w:t>
      </w:r>
      <w:r>
        <w:t>Inpatient public hospital</w:t>
      </w:r>
    </w:p>
    <w:p w:rsidR="000A478F" w:rsidRDefault="009F69E1" w:rsidP="000A478F">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DD4A3B">
        <w:rPr>
          <w:szCs w:val="20"/>
        </w:rPr>
      </w:r>
      <w:r w:rsidR="00DD4A3B">
        <w:rPr>
          <w:szCs w:val="20"/>
        </w:rPr>
        <w:fldChar w:fldCharType="separate"/>
      </w:r>
      <w:r>
        <w:rPr>
          <w:szCs w:val="20"/>
        </w:rPr>
        <w:fldChar w:fldCharType="end"/>
      </w:r>
      <w:r w:rsidR="000A478F">
        <w:rPr>
          <w:szCs w:val="20"/>
        </w:rPr>
        <w:t xml:space="preserve"> </w:t>
      </w:r>
      <w:r w:rsidR="000A478F">
        <w:t>Outpatient clinic</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D4A3B">
        <w:rPr>
          <w:szCs w:val="20"/>
        </w:rPr>
      </w:r>
      <w:r w:rsidR="00DD4A3B">
        <w:rPr>
          <w:szCs w:val="20"/>
        </w:rPr>
        <w:fldChar w:fldCharType="separate"/>
      </w:r>
      <w:r w:rsidRPr="000A5B32">
        <w:rPr>
          <w:szCs w:val="20"/>
        </w:rPr>
        <w:fldChar w:fldCharType="end"/>
      </w:r>
      <w:r>
        <w:rPr>
          <w:szCs w:val="20"/>
        </w:rPr>
        <w:t xml:space="preserve"> </w:t>
      </w:r>
      <w:r>
        <w:t>Emergency Department</w:t>
      </w:r>
    </w:p>
    <w:p w:rsidR="000A478F" w:rsidRDefault="00B208FB"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DD4A3B">
        <w:rPr>
          <w:szCs w:val="20"/>
        </w:rPr>
      </w:r>
      <w:r w:rsidR="00DD4A3B">
        <w:rPr>
          <w:szCs w:val="20"/>
        </w:rPr>
        <w:fldChar w:fldCharType="separate"/>
      </w:r>
      <w:r>
        <w:rPr>
          <w:szCs w:val="20"/>
        </w:rPr>
        <w:fldChar w:fldCharType="end"/>
      </w:r>
      <w:r w:rsidR="000A478F">
        <w:rPr>
          <w:szCs w:val="20"/>
        </w:rPr>
        <w:t xml:space="preserve"> </w:t>
      </w:r>
      <w:r w:rsidR="000A478F">
        <w:t>Consulting rooms</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D4A3B">
        <w:rPr>
          <w:szCs w:val="20"/>
        </w:rPr>
      </w:r>
      <w:r w:rsidR="00DD4A3B">
        <w:rPr>
          <w:szCs w:val="20"/>
        </w:rPr>
        <w:fldChar w:fldCharType="separate"/>
      </w:r>
      <w:r w:rsidRPr="000A5B32">
        <w:rPr>
          <w:szCs w:val="20"/>
        </w:rPr>
        <w:fldChar w:fldCharType="end"/>
      </w:r>
      <w:r>
        <w:rPr>
          <w:szCs w:val="20"/>
        </w:rPr>
        <w:t xml:space="preserve"> </w:t>
      </w:r>
      <w:r>
        <w:t>Day surgery centre</w:t>
      </w:r>
    </w:p>
    <w:p w:rsidR="000A478F" w:rsidRDefault="00B208FB" w:rsidP="000A478F">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DD4A3B">
        <w:rPr>
          <w:szCs w:val="20"/>
        </w:rPr>
      </w:r>
      <w:r w:rsidR="00DD4A3B">
        <w:rPr>
          <w:szCs w:val="20"/>
        </w:rPr>
        <w:fldChar w:fldCharType="separate"/>
      </w:r>
      <w:r>
        <w:rPr>
          <w:szCs w:val="20"/>
        </w:rPr>
        <w:fldChar w:fldCharType="end"/>
      </w:r>
      <w:r w:rsidR="000A478F">
        <w:rPr>
          <w:szCs w:val="20"/>
        </w:rPr>
        <w:t xml:space="preserve"> </w:t>
      </w:r>
      <w:r w:rsidR="000A478F">
        <w:t>Residential aged care facility</w:t>
      </w:r>
    </w:p>
    <w:p w:rsidR="000A478F" w:rsidRDefault="000A35E7" w:rsidP="000A478F">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DD4A3B">
        <w:rPr>
          <w:szCs w:val="20"/>
        </w:rPr>
      </w:r>
      <w:r w:rsidR="00DD4A3B">
        <w:rPr>
          <w:szCs w:val="20"/>
        </w:rPr>
        <w:fldChar w:fldCharType="separate"/>
      </w:r>
      <w:r>
        <w:rPr>
          <w:szCs w:val="20"/>
        </w:rPr>
        <w:fldChar w:fldCharType="end"/>
      </w:r>
      <w:r w:rsidR="000A478F">
        <w:rPr>
          <w:szCs w:val="20"/>
        </w:rPr>
        <w:t xml:space="preserve"> </w:t>
      </w:r>
      <w:r w:rsidR="000A478F">
        <w:t>Patient’s home</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D4A3B">
        <w:rPr>
          <w:szCs w:val="20"/>
        </w:rPr>
      </w:r>
      <w:r w:rsidR="00DD4A3B">
        <w:rPr>
          <w:szCs w:val="20"/>
        </w:rPr>
        <w:fldChar w:fldCharType="separate"/>
      </w:r>
      <w:r w:rsidRPr="000A5B32">
        <w:rPr>
          <w:szCs w:val="20"/>
        </w:rPr>
        <w:fldChar w:fldCharType="end"/>
      </w:r>
      <w:r>
        <w:rPr>
          <w:szCs w:val="20"/>
        </w:rPr>
        <w:t xml:space="preserve"> </w:t>
      </w:r>
      <w:r>
        <w:t>Laboratory</w:t>
      </w:r>
    </w:p>
    <w:p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D4A3B">
        <w:rPr>
          <w:szCs w:val="20"/>
        </w:rPr>
      </w:r>
      <w:r w:rsidR="00DD4A3B">
        <w:rPr>
          <w:szCs w:val="20"/>
        </w:rPr>
        <w:fldChar w:fldCharType="separate"/>
      </w:r>
      <w:r w:rsidRPr="000A5B32">
        <w:rPr>
          <w:szCs w:val="20"/>
        </w:rPr>
        <w:fldChar w:fldCharType="end"/>
      </w:r>
      <w:r>
        <w:rPr>
          <w:szCs w:val="20"/>
        </w:rPr>
        <w:t xml:space="preserve"> </w:t>
      </w:r>
      <w:r>
        <w:t>Other – please specify below</w:t>
      </w:r>
    </w:p>
    <w:p w:rsidR="005F3F07" w:rsidRPr="00BC77D5" w:rsidRDefault="005F3F07" w:rsidP="0073597B">
      <w:pPr>
        <w:ind w:left="426"/>
        <w:rPr>
          <w:color w:val="FF0000"/>
          <w:szCs w:val="20"/>
        </w:rPr>
      </w:pPr>
    </w:p>
    <w:p w:rsidR="003433D1" w:rsidRPr="005C3AE7" w:rsidRDefault="00E048ED" w:rsidP="005C3AE7">
      <w:pPr>
        <w:pStyle w:val="ListParagraph"/>
        <w:numPr>
          <w:ilvl w:val="0"/>
          <w:numId w:val="29"/>
        </w:numPr>
        <w:rPr>
          <w:b/>
          <w:szCs w:val="20"/>
        </w:rPr>
      </w:pPr>
      <w:r w:rsidRPr="005C3AE7">
        <w:rPr>
          <w:b/>
          <w:szCs w:val="20"/>
        </w:rPr>
        <w:lastRenderedPageBreak/>
        <w:t>Where the proposed medical service is provided in more than one setting, please describ</w:t>
      </w:r>
      <w:r w:rsidR="00AE1188" w:rsidRPr="005C3AE7">
        <w:rPr>
          <w:b/>
          <w:szCs w:val="20"/>
        </w:rPr>
        <w:t>e the rationale related to each:</w:t>
      </w:r>
    </w:p>
    <w:p w:rsidR="0073597B" w:rsidRPr="009F69E1" w:rsidRDefault="009F69E1" w:rsidP="0073597B">
      <w:pPr>
        <w:ind w:left="426"/>
        <w:rPr>
          <w:szCs w:val="20"/>
        </w:rPr>
      </w:pPr>
      <w:r w:rsidRPr="009F69E1">
        <w:rPr>
          <w:szCs w:val="20"/>
        </w:rPr>
        <w:t xml:space="preserve">Blood pressure measurements </w:t>
      </w:r>
      <w:r>
        <w:rPr>
          <w:szCs w:val="20"/>
        </w:rPr>
        <w:t>are usually carried out</w:t>
      </w:r>
      <w:r w:rsidRPr="009F69E1">
        <w:rPr>
          <w:szCs w:val="20"/>
        </w:rPr>
        <w:t xml:space="preserve"> in either the doctor’s room or during a home visit.</w:t>
      </w:r>
    </w:p>
    <w:p w:rsidR="003E30FB" w:rsidRDefault="003E30FB" w:rsidP="00530204">
      <w:pPr>
        <w:pStyle w:val="Heading2"/>
      </w:pPr>
      <w:r>
        <w:t xml:space="preserve">Is the </w:t>
      </w:r>
      <w:r w:rsidRPr="001B29A1">
        <w:t>proposed</w:t>
      </w:r>
      <w:r>
        <w:t xml:space="preserve"> medical service intended to be entirely rendered in Australia?</w:t>
      </w:r>
    </w:p>
    <w:p w:rsidR="000A478F" w:rsidRDefault="00B208FB"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D4A3B">
        <w:rPr>
          <w:szCs w:val="20"/>
        </w:rPr>
      </w:r>
      <w:r w:rsidR="00DD4A3B">
        <w:rPr>
          <w:szCs w:val="20"/>
        </w:rPr>
        <w:fldChar w:fldCharType="separate"/>
      </w:r>
      <w:r>
        <w:rPr>
          <w:szCs w:val="20"/>
        </w:rPr>
        <w:fldChar w:fldCharType="end"/>
      </w:r>
      <w:r w:rsidR="000A478F">
        <w:rPr>
          <w:szCs w:val="20"/>
        </w:rPr>
        <w:t xml:space="preserve"> Yes</w:t>
      </w:r>
    </w:p>
    <w:p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DD4A3B">
        <w:rPr>
          <w:szCs w:val="20"/>
        </w:rPr>
      </w:r>
      <w:r w:rsidR="00DD4A3B">
        <w:rPr>
          <w:szCs w:val="20"/>
        </w:rPr>
        <w:fldChar w:fldCharType="separate"/>
      </w:r>
      <w:r w:rsidRPr="00753C44">
        <w:rPr>
          <w:szCs w:val="20"/>
        </w:rPr>
        <w:fldChar w:fldCharType="end"/>
      </w:r>
      <w:r>
        <w:rPr>
          <w:szCs w:val="20"/>
        </w:rPr>
        <w:t xml:space="preserve"> No</w:t>
      </w:r>
      <w:r w:rsidR="00C4696B">
        <w:rPr>
          <w:szCs w:val="20"/>
        </w:rPr>
        <w:t xml:space="preserve"> – please specify below</w:t>
      </w:r>
    </w:p>
    <w:p w:rsidR="003E30FB" w:rsidRPr="000A478F" w:rsidRDefault="003E30FB" w:rsidP="000A478F">
      <w:pPr>
        <w:ind w:left="426"/>
      </w:pPr>
    </w:p>
    <w:p w:rsidR="00E60529" w:rsidRPr="00881F93" w:rsidRDefault="005C3AE7" w:rsidP="005C3AE7">
      <w:pPr>
        <w:pStyle w:val="Subtitle"/>
      </w:pPr>
      <w:r>
        <w:t xml:space="preserve">PART 6c – </w:t>
      </w:r>
      <w:r w:rsidR="00E60529" w:rsidRPr="00881F93">
        <w:t>INFORMATION ABOUT THE COMPARATOR</w:t>
      </w:r>
      <w:r w:rsidR="00A83EC6" w:rsidRPr="00881F93">
        <w:t>(S)</w:t>
      </w:r>
    </w:p>
    <w:p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rsidR="00A36D74" w:rsidRDefault="003C0D22" w:rsidP="00A36D74">
      <w:pPr>
        <w:pStyle w:val="ListParagraph"/>
        <w:numPr>
          <w:ilvl w:val="0"/>
          <w:numId w:val="40"/>
        </w:numPr>
        <w:jc w:val="both"/>
        <w:rPr>
          <w:szCs w:val="20"/>
        </w:rPr>
      </w:pPr>
      <w:r>
        <w:rPr>
          <w:szCs w:val="20"/>
        </w:rPr>
        <w:t>N</w:t>
      </w:r>
      <w:r w:rsidR="009F69E1" w:rsidRPr="00A36D74">
        <w:rPr>
          <w:szCs w:val="20"/>
        </w:rPr>
        <w:t xml:space="preserve">on-ambulatory </w:t>
      </w:r>
      <w:r w:rsidR="00B208FB" w:rsidRPr="00A36D74">
        <w:rPr>
          <w:szCs w:val="20"/>
        </w:rPr>
        <w:t xml:space="preserve">blood pressure measurement </w:t>
      </w:r>
      <w:r w:rsidR="00A36D74" w:rsidRPr="00A36D74">
        <w:rPr>
          <w:szCs w:val="20"/>
        </w:rPr>
        <w:t>carried out by a doctor</w:t>
      </w:r>
      <w:r>
        <w:rPr>
          <w:szCs w:val="20"/>
        </w:rPr>
        <w:t xml:space="preserve"> in either the clinic or as part of a home visit</w:t>
      </w:r>
      <w:r w:rsidR="00A36D74">
        <w:rPr>
          <w:szCs w:val="20"/>
        </w:rPr>
        <w:t>; or</w:t>
      </w:r>
    </w:p>
    <w:p w:rsidR="00E60529" w:rsidRPr="003C0D22" w:rsidRDefault="003C0D22" w:rsidP="00A36D74">
      <w:pPr>
        <w:pStyle w:val="ListParagraph"/>
        <w:numPr>
          <w:ilvl w:val="0"/>
          <w:numId w:val="40"/>
        </w:numPr>
        <w:jc w:val="both"/>
        <w:rPr>
          <w:szCs w:val="20"/>
        </w:rPr>
      </w:pPr>
      <w:r w:rsidRPr="003C0D22">
        <w:rPr>
          <w:szCs w:val="20"/>
        </w:rPr>
        <w:t>Multiple non-ambulatory blood pressure measurements taken by the patient in their home</w:t>
      </w:r>
      <w:r w:rsidR="00A36D74" w:rsidRPr="003C0D22">
        <w:rPr>
          <w:szCs w:val="20"/>
        </w:rPr>
        <w:t>.</w:t>
      </w:r>
    </w:p>
    <w:p w:rsidR="00757232" w:rsidRDefault="00AF5D1E" w:rsidP="00530204">
      <w:pPr>
        <w:pStyle w:val="Heading2"/>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rsidR="006A1038" w:rsidRDefault="006D7935"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D4A3B">
        <w:rPr>
          <w:szCs w:val="20"/>
        </w:rPr>
      </w:r>
      <w:r w:rsidR="00DD4A3B">
        <w:rPr>
          <w:szCs w:val="20"/>
        </w:rPr>
        <w:fldChar w:fldCharType="separate"/>
      </w:r>
      <w:r>
        <w:rPr>
          <w:szCs w:val="20"/>
        </w:rPr>
        <w:fldChar w:fldCharType="end"/>
      </w:r>
      <w:r w:rsidR="006A1038">
        <w:rPr>
          <w:szCs w:val="20"/>
        </w:rPr>
        <w:t xml:space="preserve"> Yes (please provide all relevant MBS item numbers below)</w:t>
      </w:r>
    </w:p>
    <w:p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DD4A3B">
        <w:rPr>
          <w:szCs w:val="20"/>
        </w:rPr>
      </w:r>
      <w:r w:rsidR="00DD4A3B">
        <w:rPr>
          <w:szCs w:val="20"/>
        </w:rPr>
        <w:fldChar w:fldCharType="separate"/>
      </w:r>
      <w:r w:rsidRPr="00753C44">
        <w:rPr>
          <w:szCs w:val="20"/>
        </w:rPr>
        <w:fldChar w:fldCharType="end"/>
      </w:r>
      <w:r>
        <w:rPr>
          <w:szCs w:val="20"/>
        </w:rPr>
        <w:t xml:space="preserve"> No  </w:t>
      </w:r>
    </w:p>
    <w:p w:rsidR="000159B9" w:rsidRPr="00154B00" w:rsidRDefault="009F69E1" w:rsidP="001B29A1">
      <w:pPr>
        <w:ind w:left="426"/>
        <w:rPr>
          <w:szCs w:val="20"/>
        </w:rPr>
      </w:pPr>
      <w:r>
        <w:rPr>
          <w:szCs w:val="20"/>
        </w:rPr>
        <w:t>Currently covered a</w:t>
      </w:r>
      <w:r w:rsidR="006D7935">
        <w:rPr>
          <w:szCs w:val="20"/>
        </w:rPr>
        <w:t xml:space="preserve">s part of a </w:t>
      </w:r>
      <w:r>
        <w:rPr>
          <w:szCs w:val="20"/>
        </w:rPr>
        <w:t>standard GP or Specialist consultation.</w:t>
      </w:r>
    </w:p>
    <w:p w:rsidR="000034B1" w:rsidRPr="00E573C2" w:rsidRDefault="00AF5D1E" w:rsidP="00E573C2">
      <w:pPr>
        <w:pStyle w:val="Heading2"/>
      </w:pPr>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r w:rsidR="00E573C2">
        <w:br/>
      </w:r>
      <w:r w:rsidR="00E573C2">
        <w:rPr>
          <w:noProof/>
          <w:lang w:eastAsia="en-AU"/>
        </w:rPr>
        <w:drawing>
          <wp:inline distT="0" distB="0" distL="0" distR="0">
            <wp:extent cx="5286375" cy="3562350"/>
            <wp:effectExtent l="0" t="0" r="9525" b="0"/>
            <wp:docPr id="51" name="Picture 51" descr="Current clinical management pathway" title="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86375" cy="3562350"/>
                    </a:xfrm>
                    <a:prstGeom prst="rect">
                      <a:avLst/>
                    </a:prstGeom>
                    <a:noFill/>
                    <a:ln>
                      <a:noFill/>
                    </a:ln>
                  </pic:spPr>
                </pic:pic>
              </a:graphicData>
            </a:graphic>
          </wp:inline>
        </w:drawing>
      </w:r>
    </w:p>
    <w:p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rsidR="001B29A1" w:rsidRDefault="00243197"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D4A3B">
        <w:rPr>
          <w:szCs w:val="20"/>
        </w:rPr>
      </w:r>
      <w:r w:rsidR="00DD4A3B">
        <w:rPr>
          <w:szCs w:val="20"/>
        </w:rPr>
        <w:fldChar w:fldCharType="separate"/>
      </w:r>
      <w:r>
        <w:rPr>
          <w:szCs w:val="20"/>
        </w:rPr>
        <w:fldChar w:fldCharType="end"/>
      </w:r>
      <w:r w:rsidR="001B29A1">
        <w:rPr>
          <w:szCs w:val="20"/>
        </w:rPr>
        <w:t xml:space="preserve"> Yes </w:t>
      </w:r>
    </w:p>
    <w:p w:rsidR="001B29A1" w:rsidRDefault="00243197" w:rsidP="001B29A1">
      <w:pPr>
        <w:spacing w:before="0" w:after="0"/>
        <w:ind w:left="426"/>
        <w:rPr>
          <w:szCs w:val="20"/>
        </w:rPr>
      </w:pPr>
      <w:r>
        <w:rPr>
          <w:szCs w:val="20"/>
        </w:rPr>
        <w:lastRenderedPageBreak/>
        <w:fldChar w:fldCharType="begin">
          <w:ffData>
            <w:name w:val=""/>
            <w:enabled/>
            <w:calcOnExit w:val="0"/>
            <w:checkBox>
              <w:sizeAuto/>
              <w:default w:val="1"/>
            </w:checkBox>
          </w:ffData>
        </w:fldChar>
      </w:r>
      <w:r>
        <w:rPr>
          <w:szCs w:val="20"/>
        </w:rPr>
        <w:instrText xml:space="preserve"> FORMCHECKBOX </w:instrText>
      </w:r>
      <w:r w:rsidR="00DD4A3B">
        <w:rPr>
          <w:szCs w:val="20"/>
        </w:rPr>
      </w:r>
      <w:r w:rsidR="00DD4A3B">
        <w:rPr>
          <w:szCs w:val="20"/>
        </w:rPr>
        <w:fldChar w:fldCharType="separate"/>
      </w:r>
      <w:r>
        <w:rPr>
          <w:szCs w:val="20"/>
        </w:rPr>
        <w:fldChar w:fldCharType="end"/>
      </w:r>
      <w:r w:rsidR="001B29A1">
        <w:rPr>
          <w:szCs w:val="20"/>
        </w:rPr>
        <w:t xml:space="preserve"> No  </w:t>
      </w:r>
    </w:p>
    <w:p w:rsidR="009F69E1" w:rsidRDefault="009F69E1" w:rsidP="009F69E1">
      <w:pPr>
        <w:spacing w:after="0"/>
        <w:ind w:left="425"/>
        <w:jc w:val="both"/>
        <w:rPr>
          <w:szCs w:val="20"/>
        </w:rPr>
      </w:pPr>
      <w:r>
        <w:rPr>
          <w:szCs w:val="20"/>
        </w:rPr>
        <w:t xml:space="preserve">The </w:t>
      </w:r>
      <w:r w:rsidR="003C0D22">
        <w:rPr>
          <w:szCs w:val="20"/>
        </w:rPr>
        <w:t xml:space="preserve">first </w:t>
      </w:r>
      <w:r>
        <w:rPr>
          <w:szCs w:val="20"/>
        </w:rPr>
        <w:t xml:space="preserve">comparator, </w:t>
      </w:r>
      <w:r w:rsidR="003C0D22" w:rsidRPr="00A36D74">
        <w:rPr>
          <w:szCs w:val="20"/>
        </w:rPr>
        <w:t xml:space="preserve">non-ambulatory blood pressure </w:t>
      </w:r>
      <w:r w:rsidR="003C0D22">
        <w:rPr>
          <w:szCs w:val="20"/>
        </w:rPr>
        <w:t>measured by a doctor in the clinic or patient’s home</w:t>
      </w:r>
      <w:r>
        <w:rPr>
          <w:szCs w:val="20"/>
        </w:rPr>
        <w:t xml:space="preserve">, is used to determine if the patient qualifies for ambulatory blood pressure monitoring, that is, has a reading ≥ 140/90mmHg and ≤ </w:t>
      </w:r>
      <w:r w:rsidR="00295AD6">
        <w:rPr>
          <w:szCs w:val="20"/>
        </w:rPr>
        <w:t>180/110</w:t>
      </w:r>
      <w:r>
        <w:rPr>
          <w:szCs w:val="20"/>
        </w:rPr>
        <w:t>mmHg.</w:t>
      </w:r>
    </w:p>
    <w:p w:rsidR="009F69E1" w:rsidRPr="003C0D22" w:rsidRDefault="009F69E1" w:rsidP="009F69E1">
      <w:pPr>
        <w:spacing w:after="0"/>
        <w:ind w:left="425"/>
        <w:jc w:val="both"/>
        <w:rPr>
          <w:szCs w:val="20"/>
        </w:rPr>
      </w:pPr>
      <w:r w:rsidRPr="003C0D22">
        <w:rPr>
          <w:szCs w:val="20"/>
        </w:rPr>
        <w:t xml:space="preserve">The </w:t>
      </w:r>
      <w:r w:rsidR="003C0D22" w:rsidRPr="003C0D22">
        <w:rPr>
          <w:szCs w:val="20"/>
        </w:rPr>
        <w:t xml:space="preserve">second </w:t>
      </w:r>
      <w:r w:rsidRPr="003C0D22">
        <w:rPr>
          <w:szCs w:val="20"/>
        </w:rPr>
        <w:t xml:space="preserve">comparator, </w:t>
      </w:r>
      <w:r w:rsidR="003C0D22" w:rsidRPr="003C0D22">
        <w:rPr>
          <w:szCs w:val="20"/>
        </w:rPr>
        <w:t xml:space="preserve">multiple </w:t>
      </w:r>
      <w:r w:rsidRPr="003C0D22">
        <w:rPr>
          <w:szCs w:val="20"/>
        </w:rPr>
        <w:t>non-ambulatory blood pressure measure</w:t>
      </w:r>
      <w:r w:rsidR="003C0D22" w:rsidRPr="003C0D22">
        <w:rPr>
          <w:szCs w:val="20"/>
        </w:rPr>
        <w:t>ments taken by the patient in their home</w:t>
      </w:r>
      <w:r w:rsidRPr="003C0D22">
        <w:rPr>
          <w:szCs w:val="20"/>
        </w:rPr>
        <w:t xml:space="preserve">, </w:t>
      </w:r>
      <w:r w:rsidR="003C0D22" w:rsidRPr="003C0D22">
        <w:rPr>
          <w:szCs w:val="20"/>
        </w:rPr>
        <w:t>can be used as an alternative to</w:t>
      </w:r>
      <w:r w:rsidRPr="003C0D22">
        <w:rPr>
          <w:szCs w:val="20"/>
        </w:rPr>
        <w:t xml:space="preserve"> ambulatory blood pressure monitoring.</w:t>
      </w:r>
    </w:p>
    <w:p w:rsidR="00E70D86" w:rsidRPr="00154B00" w:rsidRDefault="00E70D86" w:rsidP="005C3AE7">
      <w:pPr>
        <w:pStyle w:val="Heading2"/>
        <w:numPr>
          <w:ilvl w:val="0"/>
          <w:numId w:val="30"/>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rsidR="00243197" w:rsidRPr="001B29A1" w:rsidRDefault="00F03AF6" w:rsidP="00F03AF6">
      <w:pPr>
        <w:ind w:left="709"/>
        <w:jc w:val="both"/>
        <w:rPr>
          <w:szCs w:val="20"/>
        </w:rPr>
      </w:pPr>
      <w:r>
        <w:rPr>
          <w:szCs w:val="20"/>
        </w:rPr>
        <w:t xml:space="preserve">As per the NICE Guidelines, Ambulatory Blood Pressure Monitoring (ABPM) is preferred over patient administered home monitoring.  </w:t>
      </w:r>
    </w:p>
    <w:p w:rsidR="001B29A1" w:rsidRPr="00FA0B55" w:rsidRDefault="009C03FB" w:rsidP="00881F93">
      <w:pPr>
        <w:pStyle w:val="Heading2"/>
      </w:pPr>
      <w:r w:rsidRPr="00A9524B">
        <w:t>Define and summarise how</w:t>
      </w:r>
      <w:r w:rsidR="00F33F1A" w:rsidRPr="00A9524B">
        <w:t xml:space="preserve"> curr</w:t>
      </w:r>
      <w:r w:rsidRPr="00A9524B">
        <w:t>ent clinical management pathways (from the point of service delivery onwards) are</w:t>
      </w:r>
      <w:r w:rsidR="00F33F1A" w:rsidRPr="00A9524B">
        <w:t xml:space="preserve"> expected to change as a consequence of introducing the proposed medical service </w:t>
      </w:r>
      <w:r w:rsidR="007D2358" w:rsidRPr="00A9524B">
        <w:t xml:space="preserve">including variation in health care resources </w:t>
      </w:r>
      <w:r w:rsidRPr="00A9524B">
        <w:t>(</w:t>
      </w:r>
      <w:r w:rsidR="002053F2" w:rsidRPr="00A9524B">
        <w:t xml:space="preserve">Refer to </w:t>
      </w:r>
      <w:r w:rsidR="00F33F1A" w:rsidRPr="00A9524B">
        <w:t xml:space="preserve">Question </w:t>
      </w:r>
      <w:r w:rsidR="00197D29" w:rsidRPr="00A9524B">
        <w:t>39</w:t>
      </w:r>
      <w:r w:rsidR="00F33F1A" w:rsidRPr="00A9524B">
        <w:t xml:space="preserve"> as baseline)</w:t>
      </w:r>
      <w:r w:rsidR="00AE1188" w:rsidRPr="00A9524B">
        <w:t>:</w:t>
      </w:r>
      <w:r w:rsidR="00FA0B55">
        <w:br/>
      </w:r>
      <w:r w:rsidR="00FA0B55">
        <w:rPr>
          <w:noProof/>
          <w:lang w:eastAsia="en-AU"/>
        </w:rPr>
        <w:drawing>
          <wp:inline distT="0" distB="0" distL="0" distR="0">
            <wp:extent cx="5295900" cy="6400800"/>
            <wp:effectExtent l="0" t="0" r="0" b="0"/>
            <wp:docPr id="56" name="Picture 56" title="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95900" cy="6400800"/>
                    </a:xfrm>
                    <a:prstGeom prst="rect">
                      <a:avLst/>
                    </a:prstGeom>
                    <a:noFill/>
                    <a:ln>
                      <a:noFill/>
                    </a:ln>
                  </pic:spPr>
                </pic:pic>
              </a:graphicData>
            </a:graphic>
          </wp:inline>
        </w:drawing>
      </w:r>
      <w:r w:rsidR="001B29A1" w:rsidRPr="00FA0B55">
        <w:rPr>
          <w:i/>
          <w:u w:val="single"/>
        </w:rPr>
        <w:br w:type="page"/>
      </w:r>
    </w:p>
    <w:p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rsidR="004E3CC7"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rsidR="001239C3" w:rsidRPr="001239C3" w:rsidRDefault="001239C3" w:rsidP="00B3151F">
      <w:pPr>
        <w:pStyle w:val="ListParagraph"/>
        <w:numPr>
          <w:ilvl w:val="0"/>
          <w:numId w:val="41"/>
        </w:numPr>
        <w:ind w:left="709"/>
      </w:pPr>
      <w:r>
        <w:t xml:space="preserve">A decrease in premature deaths due to </w:t>
      </w:r>
      <w:r w:rsidR="00CC606A" w:rsidRPr="00F02771">
        <w:rPr>
          <w:szCs w:val="20"/>
        </w:rPr>
        <w:t>Cardiovascular disease (CVD)</w:t>
      </w:r>
      <w:r>
        <w:t xml:space="preserve"> as a consequence of better controlled blood pressure</w:t>
      </w:r>
      <w:r w:rsidR="00B3151F">
        <w:t xml:space="preserve"> as a consequence of more accurate diagnosis</w:t>
      </w:r>
      <w:r>
        <w:t>.</w:t>
      </w:r>
    </w:p>
    <w:p w:rsidR="004E3CC7" w:rsidRPr="00B3151F" w:rsidRDefault="00B3151F" w:rsidP="00B3151F">
      <w:pPr>
        <w:pStyle w:val="ListParagraph"/>
        <w:numPr>
          <w:ilvl w:val="0"/>
          <w:numId w:val="41"/>
        </w:numPr>
        <w:ind w:left="709"/>
        <w:rPr>
          <w:szCs w:val="20"/>
        </w:rPr>
      </w:pPr>
      <w:r>
        <w:rPr>
          <w:szCs w:val="20"/>
        </w:rPr>
        <w:t>A reduction in the t</w:t>
      </w:r>
      <w:r w:rsidR="00CA553B" w:rsidRPr="00B3151F">
        <w:rPr>
          <w:szCs w:val="20"/>
        </w:rPr>
        <w:t xml:space="preserve">reating </w:t>
      </w:r>
      <w:r>
        <w:rPr>
          <w:szCs w:val="20"/>
        </w:rPr>
        <w:t>of patients who</w:t>
      </w:r>
      <w:r w:rsidR="00CA553B" w:rsidRPr="00B3151F">
        <w:rPr>
          <w:szCs w:val="20"/>
        </w:rPr>
        <w:t xml:space="preserve"> don’t have high blood pressure </w:t>
      </w:r>
      <w:r>
        <w:rPr>
          <w:szCs w:val="20"/>
        </w:rPr>
        <w:t>but suffer from</w:t>
      </w:r>
      <w:r w:rsidR="00CA553B" w:rsidRPr="00B3151F">
        <w:rPr>
          <w:szCs w:val="20"/>
        </w:rPr>
        <w:t xml:space="preserve"> white coat hypertension</w:t>
      </w:r>
      <w:r>
        <w:rPr>
          <w:szCs w:val="20"/>
        </w:rPr>
        <w:t>.</w:t>
      </w:r>
    </w:p>
    <w:p w:rsidR="00CA553B" w:rsidRPr="00B3151F" w:rsidRDefault="00B3151F" w:rsidP="00B3151F">
      <w:pPr>
        <w:pStyle w:val="ListParagraph"/>
        <w:numPr>
          <w:ilvl w:val="0"/>
          <w:numId w:val="41"/>
        </w:numPr>
        <w:ind w:left="709"/>
        <w:rPr>
          <w:szCs w:val="20"/>
        </w:rPr>
      </w:pPr>
      <w:r>
        <w:rPr>
          <w:szCs w:val="20"/>
        </w:rPr>
        <w:t>A reduction in the adverse events due to treating patient misdiagnosed with high blood pressure.</w:t>
      </w:r>
    </w:p>
    <w:p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rsidR="001B29A1" w:rsidRPr="001B29A1" w:rsidRDefault="00243197"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D4A3B">
        <w:rPr>
          <w:szCs w:val="20"/>
        </w:rPr>
      </w:r>
      <w:r w:rsidR="00DD4A3B">
        <w:rPr>
          <w:szCs w:val="20"/>
        </w:rPr>
        <w:fldChar w:fldCharType="separate"/>
      </w:r>
      <w:r>
        <w:rPr>
          <w:szCs w:val="20"/>
        </w:rPr>
        <w:fldChar w:fldCharType="end"/>
      </w:r>
      <w:r w:rsidR="001B29A1" w:rsidRPr="001B29A1">
        <w:rPr>
          <w:szCs w:val="20"/>
        </w:rPr>
        <w:t xml:space="preserve"> Superiority</w:t>
      </w:r>
      <w:r w:rsidR="001B29A1" w:rsidRPr="001B29A1">
        <w:rPr>
          <w:szCs w:val="20"/>
        </w:rPr>
        <w:tab/>
      </w:r>
    </w:p>
    <w:p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DD4A3B">
        <w:rPr>
          <w:szCs w:val="20"/>
        </w:rPr>
      </w:r>
      <w:r w:rsidR="00DD4A3B">
        <w:rPr>
          <w:szCs w:val="20"/>
        </w:rPr>
        <w:fldChar w:fldCharType="separate"/>
      </w:r>
      <w:r w:rsidRPr="001B29A1">
        <w:rPr>
          <w:szCs w:val="20"/>
        </w:rPr>
        <w:fldChar w:fldCharType="end"/>
      </w:r>
      <w:r w:rsidRPr="001B29A1">
        <w:rPr>
          <w:szCs w:val="20"/>
        </w:rPr>
        <w:t xml:space="preserve"> Non-inferiority</w:t>
      </w:r>
      <w:r w:rsidRPr="001B29A1">
        <w:rPr>
          <w:szCs w:val="20"/>
        </w:rPr>
        <w:tab/>
      </w:r>
    </w:p>
    <w:p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rsidR="001B29A1" w:rsidRDefault="001B29A1" w:rsidP="00A4223A">
      <w:pPr>
        <w:rPr>
          <w:b/>
          <w:szCs w:val="20"/>
        </w:rPr>
      </w:pPr>
      <w:r w:rsidRPr="001B29A1">
        <w:rPr>
          <w:b/>
          <w:szCs w:val="20"/>
        </w:rPr>
        <w:t>Safety Outcomes</w:t>
      </w:r>
      <w:r>
        <w:rPr>
          <w:b/>
          <w:szCs w:val="20"/>
        </w:rPr>
        <w:t xml:space="preserve">: </w:t>
      </w:r>
    </w:p>
    <w:p w:rsidR="00C520DD" w:rsidRPr="00C520DD" w:rsidRDefault="00C520DD" w:rsidP="00C520DD">
      <w:pPr>
        <w:pStyle w:val="ListParagraph"/>
        <w:numPr>
          <w:ilvl w:val="0"/>
          <w:numId w:val="43"/>
        </w:numPr>
        <w:ind w:left="709"/>
        <w:rPr>
          <w:b/>
          <w:szCs w:val="20"/>
        </w:rPr>
      </w:pPr>
      <w:r w:rsidRPr="00C520DD">
        <w:rPr>
          <w:szCs w:val="20"/>
        </w:rPr>
        <w:t>A reduction in the adverse events due to treating patient misdiagnosed with high blood pressure.</w:t>
      </w:r>
    </w:p>
    <w:p w:rsidR="00B25D20" w:rsidRPr="001B29A1" w:rsidRDefault="001B29A1" w:rsidP="00A4223A">
      <w:pPr>
        <w:rPr>
          <w:szCs w:val="20"/>
        </w:rPr>
      </w:pPr>
      <w:r w:rsidRPr="001B29A1">
        <w:rPr>
          <w:b/>
          <w:szCs w:val="20"/>
        </w:rPr>
        <w:t>Clinical Effectiveness Outcomes</w:t>
      </w:r>
      <w:r>
        <w:rPr>
          <w:b/>
          <w:szCs w:val="20"/>
        </w:rPr>
        <w:t xml:space="preserve">: </w:t>
      </w:r>
    </w:p>
    <w:p w:rsidR="00E935AB" w:rsidRDefault="00E935AB" w:rsidP="00C520DD">
      <w:pPr>
        <w:ind w:left="426"/>
        <w:jc w:val="both"/>
        <w:rPr>
          <w:szCs w:val="20"/>
        </w:rPr>
      </w:pPr>
      <w:r>
        <w:rPr>
          <w:szCs w:val="20"/>
        </w:rPr>
        <w:t xml:space="preserve">More appropriate treatment of high blood pressure, resulting from the use of ambulatory blood pressure monitoring, </w:t>
      </w:r>
      <w:r w:rsidR="00C520DD">
        <w:rPr>
          <w:szCs w:val="20"/>
        </w:rPr>
        <w:t xml:space="preserve">will result in a </w:t>
      </w:r>
      <w:r w:rsidR="00CC606A">
        <w:rPr>
          <w:szCs w:val="20"/>
        </w:rPr>
        <w:t xml:space="preserve">reduction </w:t>
      </w:r>
      <w:r w:rsidR="00C520DD">
        <w:rPr>
          <w:szCs w:val="20"/>
        </w:rPr>
        <w:t xml:space="preserve">in </w:t>
      </w:r>
      <w:r w:rsidR="00C520DD" w:rsidRPr="00F02771">
        <w:rPr>
          <w:szCs w:val="20"/>
        </w:rPr>
        <w:t>the burden of Cardiovascular disease (CVD)</w:t>
      </w:r>
      <w:r w:rsidR="00C520DD">
        <w:rPr>
          <w:szCs w:val="20"/>
        </w:rPr>
        <w:t xml:space="preserve">.  </w:t>
      </w:r>
      <w:r w:rsidR="00C520DD" w:rsidRPr="00F02771">
        <w:rPr>
          <w:szCs w:val="20"/>
        </w:rPr>
        <w:t>CVD refers to all diseases and conditions involving the heart and blood vessels. The main types of CVD in Australia are coronary heart disease, stroke and heart failure/cardiomyopathy.</w:t>
      </w:r>
    </w:p>
    <w:p w:rsidR="00F02771" w:rsidRPr="00C520DD" w:rsidRDefault="00B3151F" w:rsidP="00C520DD">
      <w:pPr>
        <w:pStyle w:val="ListParagraph"/>
        <w:numPr>
          <w:ilvl w:val="0"/>
          <w:numId w:val="42"/>
        </w:numPr>
        <w:spacing w:after="0"/>
        <w:ind w:left="714" w:hanging="357"/>
        <w:contextualSpacing w:val="0"/>
        <w:jc w:val="both"/>
        <w:rPr>
          <w:szCs w:val="20"/>
        </w:rPr>
      </w:pPr>
      <w:r w:rsidRPr="00C520DD">
        <w:rPr>
          <w:szCs w:val="20"/>
        </w:rPr>
        <w:t xml:space="preserve">In 2003, high blood pressure was the greatest attributor to the burden of </w:t>
      </w:r>
      <w:r w:rsidR="00F02771" w:rsidRPr="00C520DD">
        <w:rPr>
          <w:szCs w:val="20"/>
        </w:rPr>
        <w:t>Cardiovascular disease (</w:t>
      </w:r>
      <w:r w:rsidRPr="00C520DD">
        <w:rPr>
          <w:szCs w:val="20"/>
        </w:rPr>
        <w:t>CVD</w:t>
      </w:r>
      <w:r w:rsidR="00F02771" w:rsidRPr="00C520DD">
        <w:rPr>
          <w:szCs w:val="20"/>
        </w:rPr>
        <w:t>)</w:t>
      </w:r>
      <w:r w:rsidRPr="00C520DD">
        <w:rPr>
          <w:szCs w:val="20"/>
        </w:rPr>
        <w:t xml:space="preserve"> accounting for 42.1% of CVD’s total burden. </w:t>
      </w:r>
    </w:p>
    <w:p w:rsidR="00B3151F" w:rsidRPr="00C520DD" w:rsidRDefault="00F02771" w:rsidP="00C520DD">
      <w:pPr>
        <w:pStyle w:val="ListParagraph"/>
        <w:numPr>
          <w:ilvl w:val="0"/>
          <w:numId w:val="42"/>
        </w:numPr>
        <w:spacing w:after="0"/>
        <w:ind w:left="714" w:hanging="357"/>
        <w:contextualSpacing w:val="0"/>
        <w:jc w:val="both"/>
        <w:rPr>
          <w:szCs w:val="20"/>
        </w:rPr>
      </w:pPr>
      <w:r w:rsidRPr="00C520DD">
        <w:rPr>
          <w:szCs w:val="20"/>
        </w:rPr>
        <w:t>CVD accounts for 15 percent of the total burden of disease in Australia, second only to cancers at 19 percent of the total burden.</w:t>
      </w:r>
    </w:p>
    <w:p w:rsidR="00E935AB" w:rsidRPr="00C520DD" w:rsidRDefault="00E935AB" w:rsidP="00C520DD">
      <w:pPr>
        <w:pStyle w:val="ListParagraph"/>
        <w:numPr>
          <w:ilvl w:val="0"/>
          <w:numId w:val="42"/>
        </w:numPr>
        <w:spacing w:after="0"/>
        <w:ind w:left="714" w:hanging="357"/>
        <w:contextualSpacing w:val="0"/>
        <w:jc w:val="both"/>
        <w:rPr>
          <w:szCs w:val="20"/>
        </w:rPr>
      </w:pPr>
      <w:r w:rsidRPr="00C520DD">
        <w:rPr>
          <w:szCs w:val="20"/>
        </w:rPr>
        <w:t>In 2012-13, $5.0 billion was spent providing health care to admitted patients with CVD. This accounted for 11.1 percent of total admitted health expenditure – the largest share of health expenditure of any disease group.</w:t>
      </w:r>
    </w:p>
    <w:p w:rsidR="00C776B1" w:rsidRPr="00C776B1" w:rsidRDefault="003433D1" w:rsidP="00092580">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rsidR="0068742D" w:rsidRPr="0068742D" w:rsidRDefault="00336EE7" w:rsidP="0068742D">
      <w:pPr>
        <w:spacing w:after="60"/>
        <w:ind w:left="426"/>
        <w:rPr>
          <w:rFonts w:eastAsia="Times New Roman" w:cs="Arial"/>
          <w:bCs/>
          <w:sz w:val="22"/>
          <w:lang w:eastAsia="en-AU"/>
        </w:rPr>
      </w:pPr>
      <w:r>
        <w:rPr>
          <w:rFonts w:eastAsia="Times New Roman" w:cs="Arial"/>
          <w:bCs/>
          <w:sz w:val="22"/>
          <w:lang w:eastAsia="en-AU"/>
        </w:rPr>
        <w:t xml:space="preserve">2011-12 - </w:t>
      </w:r>
      <w:r w:rsidR="0068742D" w:rsidRPr="00AC0BB6">
        <w:rPr>
          <w:rFonts w:eastAsia="Times New Roman" w:cs="Arial"/>
          <w:bCs/>
          <w:sz w:val="22"/>
          <w:lang w:eastAsia="en-AU"/>
        </w:rPr>
        <w:t>Measured high/very high blood pressure</w:t>
      </w:r>
      <w:r w:rsidR="0068742D" w:rsidRPr="0068742D">
        <w:rPr>
          <w:rFonts w:eastAsia="Times New Roman" w:cs="Arial"/>
          <w:bCs/>
          <w:lang w:eastAsia="en-AU"/>
        </w:rPr>
        <w:t xml:space="preserve"> (</w:t>
      </w:r>
      <w:r>
        <w:rPr>
          <w:rFonts w:eastAsia="Times New Roman" w:cs="Arial"/>
          <w:bCs/>
          <w:lang w:eastAsia="en-AU"/>
        </w:rPr>
        <w:t>≥</w:t>
      </w:r>
      <w:r w:rsidR="0068742D" w:rsidRPr="0068742D">
        <w:rPr>
          <w:rFonts w:eastAsia="Times New Roman" w:cs="Arial"/>
          <w:bCs/>
          <w:lang w:eastAsia="en-AU"/>
        </w:rPr>
        <w:t xml:space="preserve">140/90mmHg to </w:t>
      </w:r>
      <w:r>
        <w:rPr>
          <w:rFonts w:eastAsia="Times New Roman" w:cs="Arial"/>
          <w:bCs/>
          <w:lang w:eastAsia="en-AU"/>
        </w:rPr>
        <w:t>≤</w:t>
      </w:r>
      <w:r w:rsidR="0068742D" w:rsidRPr="0068742D">
        <w:rPr>
          <w:rFonts w:eastAsia="Times New Roman" w:cs="Arial"/>
          <w:bCs/>
          <w:lang w:eastAsia="en-AU"/>
        </w:rPr>
        <w:t>180/110mmHg)</w:t>
      </w:r>
      <w:r w:rsidR="0068742D">
        <w:rPr>
          <w:rFonts w:eastAsia="Times New Roman" w:cs="Arial"/>
          <w:bCs/>
          <w:lang w:eastAsia="en-AU"/>
        </w:rPr>
        <w:t>*</w:t>
      </w:r>
    </w:p>
    <w:tbl>
      <w:tblPr>
        <w:tblW w:w="68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4"/>
        <w:gridCol w:w="909"/>
        <w:gridCol w:w="887"/>
        <w:gridCol w:w="857"/>
      </w:tblGrid>
      <w:tr w:rsidR="0068742D" w:rsidRPr="00AC0BB6" w:rsidTr="0068742D">
        <w:trPr>
          <w:trHeight w:val="264"/>
        </w:trPr>
        <w:tc>
          <w:tcPr>
            <w:tcW w:w="4194" w:type="dxa"/>
            <w:shd w:val="clear" w:color="auto" w:fill="auto"/>
            <w:noWrap/>
            <w:vAlign w:val="bottom"/>
          </w:tcPr>
          <w:p w:rsidR="0068742D" w:rsidRPr="00AC0BB6" w:rsidRDefault="0068742D" w:rsidP="00991F81">
            <w:pPr>
              <w:spacing w:before="60" w:after="60"/>
              <w:ind w:firstLineChars="100" w:firstLine="200"/>
              <w:rPr>
                <w:rFonts w:eastAsia="Times New Roman" w:cs="Arial"/>
                <w:szCs w:val="20"/>
                <w:lang w:eastAsia="en-AU"/>
              </w:rPr>
            </w:pPr>
            <w:r w:rsidRPr="00AC0BB6">
              <w:rPr>
                <w:rFonts w:eastAsia="Times New Roman" w:cs="Arial"/>
                <w:szCs w:val="20"/>
                <w:lang w:eastAsia="en-AU"/>
              </w:rPr>
              <w:t>% of population</w:t>
            </w:r>
          </w:p>
        </w:tc>
        <w:tc>
          <w:tcPr>
            <w:tcW w:w="909" w:type="dxa"/>
            <w:vAlign w:val="bottom"/>
          </w:tcPr>
          <w:p w:rsidR="0068742D" w:rsidRPr="00AC0BB6" w:rsidRDefault="0068742D" w:rsidP="0068742D">
            <w:pPr>
              <w:spacing w:before="60" w:after="60"/>
              <w:jc w:val="right"/>
              <w:rPr>
                <w:rFonts w:cs="Arial"/>
                <w:szCs w:val="20"/>
              </w:rPr>
            </w:pPr>
            <w:r w:rsidRPr="00AC0BB6">
              <w:rPr>
                <w:rFonts w:cs="Arial"/>
                <w:szCs w:val="20"/>
              </w:rPr>
              <w:t xml:space="preserve">Males </w:t>
            </w:r>
          </w:p>
        </w:tc>
        <w:tc>
          <w:tcPr>
            <w:tcW w:w="887" w:type="dxa"/>
            <w:vAlign w:val="bottom"/>
          </w:tcPr>
          <w:p w:rsidR="0068742D" w:rsidRPr="00AC0BB6" w:rsidRDefault="0068742D" w:rsidP="0068742D">
            <w:pPr>
              <w:spacing w:before="60" w:after="60"/>
              <w:jc w:val="right"/>
              <w:rPr>
                <w:rFonts w:cs="Arial"/>
                <w:szCs w:val="20"/>
              </w:rPr>
            </w:pPr>
            <w:r w:rsidRPr="00AC0BB6">
              <w:rPr>
                <w:rFonts w:cs="Arial"/>
                <w:szCs w:val="20"/>
              </w:rPr>
              <w:t>Females</w:t>
            </w:r>
          </w:p>
        </w:tc>
        <w:tc>
          <w:tcPr>
            <w:tcW w:w="857" w:type="dxa"/>
            <w:vAlign w:val="bottom"/>
          </w:tcPr>
          <w:p w:rsidR="0068742D" w:rsidRPr="00AC0BB6" w:rsidRDefault="0068742D" w:rsidP="0068742D">
            <w:pPr>
              <w:spacing w:before="60" w:after="60"/>
              <w:jc w:val="right"/>
              <w:rPr>
                <w:rFonts w:cs="Arial"/>
                <w:szCs w:val="20"/>
              </w:rPr>
            </w:pPr>
            <w:r w:rsidRPr="00AC0BB6">
              <w:rPr>
                <w:rFonts w:cs="Arial"/>
                <w:szCs w:val="20"/>
              </w:rPr>
              <w:t>Persons</w:t>
            </w:r>
          </w:p>
        </w:tc>
      </w:tr>
      <w:tr w:rsidR="0068742D" w:rsidRPr="00AC0BB6" w:rsidTr="0068742D">
        <w:trPr>
          <w:trHeight w:val="264"/>
        </w:trPr>
        <w:tc>
          <w:tcPr>
            <w:tcW w:w="4194" w:type="dxa"/>
            <w:shd w:val="clear" w:color="auto" w:fill="auto"/>
            <w:noWrap/>
            <w:vAlign w:val="bottom"/>
            <w:hideMark/>
          </w:tcPr>
          <w:p w:rsidR="0068742D" w:rsidRPr="00AC0BB6" w:rsidRDefault="0068742D" w:rsidP="00991F81">
            <w:pPr>
              <w:spacing w:before="60" w:after="60"/>
              <w:ind w:firstLineChars="100" w:firstLine="200"/>
              <w:rPr>
                <w:rFonts w:eastAsia="Times New Roman" w:cs="Arial"/>
                <w:szCs w:val="20"/>
                <w:lang w:eastAsia="en-AU"/>
              </w:rPr>
            </w:pPr>
            <w:r w:rsidRPr="00AC0BB6">
              <w:rPr>
                <w:rFonts w:eastAsia="Times New Roman" w:cs="Arial"/>
                <w:szCs w:val="20"/>
                <w:lang w:eastAsia="en-AU"/>
              </w:rPr>
              <w:t>T</w:t>
            </w:r>
            <w:r w:rsidR="005279D7">
              <w:rPr>
                <w:rFonts w:eastAsia="Times New Roman" w:cs="Arial"/>
                <w:szCs w:val="20"/>
                <w:lang w:eastAsia="en-AU"/>
              </w:rPr>
              <w:t>aking hypertension medication</w:t>
            </w:r>
          </w:p>
        </w:tc>
        <w:tc>
          <w:tcPr>
            <w:tcW w:w="909" w:type="dxa"/>
            <w:vAlign w:val="bottom"/>
          </w:tcPr>
          <w:p w:rsidR="0068742D" w:rsidRPr="00AC0BB6" w:rsidRDefault="0068742D" w:rsidP="0068742D">
            <w:pPr>
              <w:spacing w:before="60" w:after="60"/>
              <w:jc w:val="right"/>
              <w:rPr>
                <w:rFonts w:cs="Arial"/>
                <w:szCs w:val="20"/>
              </w:rPr>
            </w:pPr>
            <w:r w:rsidRPr="00AC0BB6">
              <w:rPr>
                <w:rFonts w:cs="Arial"/>
                <w:szCs w:val="20"/>
              </w:rPr>
              <w:t>6.9</w:t>
            </w:r>
          </w:p>
        </w:tc>
        <w:tc>
          <w:tcPr>
            <w:tcW w:w="887" w:type="dxa"/>
            <w:vAlign w:val="bottom"/>
          </w:tcPr>
          <w:p w:rsidR="0068742D" w:rsidRPr="00AC0BB6" w:rsidRDefault="0068742D" w:rsidP="0068742D">
            <w:pPr>
              <w:spacing w:before="60" w:after="60"/>
              <w:jc w:val="right"/>
              <w:rPr>
                <w:rFonts w:cs="Arial"/>
                <w:szCs w:val="20"/>
              </w:rPr>
            </w:pPr>
            <w:r w:rsidRPr="00AC0BB6">
              <w:rPr>
                <w:rFonts w:cs="Arial"/>
                <w:szCs w:val="20"/>
              </w:rPr>
              <w:t>7.0</w:t>
            </w:r>
          </w:p>
        </w:tc>
        <w:tc>
          <w:tcPr>
            <w:tcW w:w="857" w:type="dxa"/>
            <w:vAlign w:val="bottom"/>
          </w:tcPr>
          <w:p w:rsidR="0068742D" w:rsidRPr="00AC0BB6" w:rsidRDefault="0068742D" w:rsidP="0068742D">
            <w:pPr>
              <w:spacing w:before="60" w:after="60"/>
              <w:jc w:val="right"/>
              <w:rPr>
                <w:rFonts w:cs="Arial"/>
                <w:szCs w:val="20"/>
              </w:rPr>
            </w:pPr>
            <w:r w:rsidRPr="00AC0BB6">
              <w:rPr>
                <w:rFonts w:cs="Arial"/>
                <w:szCs w:val="20"/>
              </w:rPr>
              <w:t>7.0</w:t>
            </w:r>
          </w:p>
        </w:tc>
      </w:tr>
      <w:tr w:rsidR="0068742D" w:rsidRPr="00AC0BB6" w:rsidTr="0068742D">
        <w:trPr>
          <w:trHeight w:val="264"/>
        </w:trPr>
        <w:tc>
          <w:tcPr>
            <w:tcW w:w="4194" w:type="dxa"/>
            <w:shd w:val="clear" w:color="auto" w:fill="auto"/>
            <w:noWrap/>
            <w:vAlign w:val="bottom"/>
            <w:hideMark/>
          </w:tcPr>
          <w:p w:rsidR="0068742D" w:rsidRPr="00AC0BB6" w:rsidRDefault="0068742D" w:rsidP="00991F81">
            <w:pPr>
              <w:spacing w:before="60" w:after="60"/>
              <w:ind w:firstLineChars="100" w:firstLine="200"/>
              <w:rPr>
                <w:rFonts w:eastAsia="Times New Roman" w:cs="Arial"/>
                <w:szCs w:val="20"/>
                <w:lang w:eastAsia="en-AU"/>
              </w:rPr>
            </w:pPr>
            <w:r w:rsidRPr="00AC0BB6">
              <w:rPr>
                <w:rFonts w:eastAsia="Times New Roman" w:cs="Arial"/>
                <w:szCs w:val="20"/>
                <w:lang w:eastAsia="en-AU"/>
              </w:rPr>
              <w:t>Not taking hypertension medication</w:t>
            </w:r>
          </w:p>
        </w:tc>
        <w:tc>
          <w:tcPr>
            <w:tcW w:w="909" w:type="dxa"/>
            <w:vAlign w:val="bottom"/>
          </w:tcPr>
          <w:p w:rsidR="0068742D" w:rsidRPr="00AC0BB6" w:rsidRDefault="0068742D" w:rsidP="0068742D">
            <w:pPr>
              <w:spacing w:before="60" w:after="60"/>
              <w:jc w:val="right"/>
              <w:rPr>
                <w:rFonts w:cs="Arial"/>
                <w:szCs w:val="20"/>
              </w:rPr>
            </w:pPr>
            <w:r w:rsidRPr="00AC0BB6">
              <w:rPr>
                <w:rFonts w:cs="Arial"/>
                <w:szCs w:val="20"/>
              </w:rPr>
              <w:t>15.3</w:t>
            </w:r>
          </w:p>
        </w:tc>
        <w:tc>
          <w:tcPr>
            <w:tcW w:w="887" w:type="dxa"/>
            <w:vAlign w:val="bottom"/>
          </w:tcPr>
          <w:p w:rsidR="0068742D" w:rsidRPr="00AC0BB6" w:rsidRDefault="0068742D" w:rsidP="0068742D">
            <w:pPr>
              <w:spacing w:before="60" w:after="60"/>
              <w:jc w:val="right"/>
              <w:rPr>
                <w:rFonts w:cs="Arial"/>
                <w:szCs w:val="20"/>
              </w:rPr>
            </w:pPr>
            <w:r w:rsidRPr="00AC0BB6">
              <w:rPr>
                <w:rFonts w:cs="Arial"/>
                <w:szCs w:val="20"/>
              </w:rPr>
              <w:t>11.3</w:t>
            </w:r>
          </w:p>
        </w:tc>
        <w:tc>
          <w:tcPr>
            <w:tcW w:w="857" w:type="dxa"/>
            <w:vAlign w:val="bottom"/>
          </w:tcPr>
          <w:p w:rsidR="0068742D" w:rsidRPr="00AC0BB6" w:rsidRDefault="0068742D" w:rsidP="0068742D">
            <w:pPr>
              <w:spacing w:before="60" w:after="60"/>
              <w:jc w:val="right"/>
              <w:rPr>
                <w:rFonts w:cs="Arial"/>
                <w:szCs w:val="20"/>
              </w:rPr>
            </w:pPr>
            <w:r w:rsidRPr="00AC0BB6">
              <w:rPr>
                <w:rFonts w:cs="Arial"/>
                <w:szCs w:val="20"/>
              </w:rPr>
              <w:t>13.3</w:t>
            </w:r>
          </w:p>
        </w:tc>
      </w:tr>
      <w:tr w:rsidR="0068742D" w:rsidRPr="00AC0BB6" w:rsidTr="0068742D">
        <w:trPr>
          <w:trHeight w:val="264"/>
        </w:trPr>
        <w:tc>
          <w:tcPr>
            <w:tcW w:w="4194" w:type="dxa"/>
            <w:shd w:val="clear" w:color="auto" w:fill="auto"/>
            <w:noWrap/>
            <w:vAlign w:val="bottom"/>
            <w:hideMark/>
          </w:tcPr>
          <w:p w:rsidR="0068742D" w:rsidRPr="00AC0BB6" w:rsidRDefault="0068742D" w:rsidP="00991F81">
            <w:pPr>
              <w:spacing w:before="60" w:after="60"/>
              <w:ind w:firstLineChars="100" w:firstLine="200"/>
              <w:rPr>
                <w:rFonts w:eastAsia="Times New Roman" w:cs="Arial"/>
                <w:i/>
                <w:iCs/>
                <w:szCs w:val="20"/>
                <w:lang w:eastAsia="en-AU"/>
              </w:rPr>
            </w:pPr>
            <w:r w:rsidRPr="00AC0BB6">
              <w:rPr>
                <w:rFonts w:eastAsia="Times New Roman" w:cs="Arial"/>
                <w:i/>
                <w:iCs/>
                <w:szCs w:val="20"/>
                <w:lang w:eastAsia="en-AU"/>
              </w:rPr>
              <w:t>Total high/very high measured blood pressure</w:t>
            </w:r>
          </w:p>
        </w:tc>
        <w:tc>
          <w:tcPr>
            <w:tcW w:w="909" w:type="dxa"/>
            <w:vAlign w:val="bottom"/>
          </w:tcPr>
          <w:p w:rsidR="0068742D" w:rsidRPr="00AC0BB6" w:rsidRDefault="0068742D" w:rsidP="0068742D">
            <w:pPr>
              <w:spacing w:before="60" w:after="60"/>
              <w:jc w:val="right"/>
              <w:rPr>
                <w:rFonts w:cs="Arial"/>
                <w:szCs w:val="20"/>
              </w:rPr>
            </w:pPr>
            <w:r w:rsidRPr="00AC0BB6">
              <w:rPr>
                <w:rFonts w:cs="Arial"/>
                <w:szCs w:val="20"/>
              </w:rPr>
              <w:t>22.2</w:t>
            </w:r>
          </w:p>
        </w:tc>
        <w:tc>
          <w:tcPr>
            <w:tcW w:w="887" w:type="dxa"/>
            <w:vAlign w:val="bottom"/>
          </w:tcPr>
          <w:p w:rsidR="0068742D" w:rsidRPr="00AC0BB6" w:rsidRDefault="0068742D" w:rsidP="0068742D">
            <w:pPr>
              <w:spacing w:before="60" w:after="60"/>
              <w:jc w:val="right"/>
              <w:rPr>
                <w:rFonts w:cs="Arial"/>
                <w:szCs w:val="20"/>
              </w:rPr>
            </w:pPr>
            <w:r w:rsidRPr="00AC0BB6">
              <w:rPr>
                <w:rFonts w:cs="Arial"/>
                <w:szCs w:val="20"/>
              </w:rPr>
              <w:t>18.3</w:t>
            </w:r>
          </w:p>
        </w:tc>
        <w:tc>
          <w:tcPr>
            <w:tcW w:w="857" w:type="dxa"/>
            <w:vAlign w:val="bottom"/>
          </w:tcPr>
          <w:p w:rsidR="0068742D" w:rsidRPr="00AC0BB6" w:rsidRDefault="0068742D" w:rsidP="0068742D">
            <w:pPr>
              <w:spacing w:before="60" w:after="60"/>
              <w:jc w:val="right"/>
              <w:rPr>
                <w:rFonts w:cs="Arial"/>
                <w:szCs w:val="20"/>
              </w:rPr>
            </w:pPr>
            <w:r w:rsidRPr="00AC0BB6">
              <w:rPr>
                <w:rFonts w:cs="Arial"/>
                <w:szCs w:val="20"/>
              </w:rPr>
              <w:t>20.2</w:t>
            </w:r>
          </w:p>
        </w:tc>
      </w:tr>
    </w:tbl>
    <w:p w:rsidR="006C74B1" w:rsidRDefault="0068742D" w:rsidP="0068742D">
      <w:pPr>
        <w:spacing w:before="0"/>
        <w:ind w:left="425"/>
        <w:rPr>
          <w:sz w:val="18"/>
          <w:szCs w:val="18"/>
        </w:rPr>
      </w:pPr>
      <w:r w:rsidRPr="0068742D">
        <w:rPr>
          <w:sz w:val="18"/>
          <w:szCs w:val="18"/>
        </w:rPr>
        <w:t>* Australian Health Survey: Health Service Usage and Health Related Actions, 2011–12</w:t>
      </w:r>
    </w:p>
    <w:p w:rsidR="0068742D" w:rsidRPr="0068742D" w:rsidRDefault="0068742D" w:rsidP="00336EE7">
      <w:pPr>
        <w:spacing w:after="0"/>
        <w:ind w:left="426"/>
        <w:jc w:val="both"/>
        <w:rPr>
          <w:sz w:val="22"/>
        </w:rPr>
      </w:pPr>
      <w:r w:rsidRPr="0068742D">
        <w:rPr>
          <w:sz w:val="22"/>
        </w:rPr>
        <w:t xml:space="preserve">2014/15 - </w:t>
      </w:r>
      <w:r w:rsidR="00336EE7">
        <w:rPr>
          <w:sz w:val="22"/>
        </w:rPr>
        <w:t>P</w:t>
      </w:r>
      <w:r w:rsidRPr="0068742D">
        <w:rPr>
          <w:sz w:val="22"/>
        </w:rPr>
        <w:t>revalence of uncontrolled or unmanaged high blood pressure</w:t>
      </w:r>
      <w:r w:rsidR="00336EE7">
        <w:rPr>
          <w:sz w:val="22"/>
        </w:rPr>
        <w:t xml:space="preserve"> (includes ≥ 180/110mmHg)</w:t>
      </w:r>
      <w:r w:rsidRPr="0068742D">
        <w:rPr>
          <w:sz w:val="22"/>
        </w:rPr>
        <w:t>*</w:t>
      </w:r>
    </w:p>
    <w:tbl>
      <w:tblPr>
        <w:tblStyle w:val="TableGrid2"/>
        <w:tblW w:w="3652" w:type="dxa"/>
        <w:tblInd w:w="534" w:type="dxa"/>
        <w:tblLook w:val="04A0" w:firstRow="1" w:lastRow="0" w:firstColumn="1" w:lastColumn="0" w:noHBand="0" w:noVBand="1"/>
        <w:tblCaption w:val="Table"/>
        <w:tblDescription w:val="Prevalence"/>
      </w:tblPr>
      <w:tblGrid>
        <w:gridCol w:w="2802"/>
        <w:gridCol w:w="850"/>
      </w:tblGrid>
      <w:tr w:rsidR="0068742D" w:rsidRPr="0068742D" w:rsidTr="00FA0B55">
        <w:trPr>
          <w:trHeight w:val="20"/>
          <w:tblHeader/>
        </w:trPr>
        <w:tc>
          <w:tcPr>
            <w:tcW w:w="2802" w:type="dxa"/>
            <w:hideMark/>
          </w:tcPr>
          <w:p w:rsidR="0068742D" w:rsidRPr="0068742D" w:rsidRDefault="0068742D" w:rsidP="0068742D">
            <w:pPr>
              <w:spacing w:before="0" w:after="0"/>
              <w:rPr>
                <w:rFonts w:eastAsia="Times New Roman" w:cs="Arial"/>
                <w:bCs/>
                <w:spacing w:val="12"/>
                <w:szCs w:val="20"/>
                <w:lang w:eastAsia="en-AU"/>
              </w:rPr>
            </w:pPr>
            <w:r w:rsidRPr="0068742D">
              <w:rPr>
                <w:rFonts w:eastAsia="Times New Roman" w:cs="Arial"/>
                <w:bCs/>
                <w:spacing w:val="12"/>
                <w:szCs w:val="20"/>
                <w:lang w:eastAsia="en-AU"/>
              </w:rPr>
              <w:t>State/territory</w:t>
            </w:r>
          </w:p>
        </w:tc>
        <w:tc>
          <w:tcPr>
            <w:tcW w:w="850" w:type="dxa"/>
            <w:hideMark/>
          </w:tcPr>
          <w:p w:rsidR="0068742D" w:rsidRPr="0068742D" w:rsidRDefault="0068742D" w:rsidP="0068742D">
            <w:pPr>
              <w:spacing w:before="0" w:after="0"/>
              <w:rPr>
                <w:rFonts w:eastAsia="Times New Roman" w:cs="Arial"/>
                <w:b/>
                <w:bCs/>
                <w:spacing w:val="12"/>
                <w:szCs w:val="20"/>
                <w:lang w:eastAsia="en-AU"/>
              </w:rPr>
            </w:pPr>
            <w:r w:rsidRPr="0068742D">
              <w:rPr>
                <w:rFonts w:eastAsia="Times New Roman" w:cs="Arial"/>
                <w:b/>
                <w:bCs/>
                <w:spacing w:val="12"/>
                <w:szCs w:val="20"/>
                <w:lang w:eastAsia="en-AU"/>
              </w:rPr>
              <w:t>%</w:t>
            </w:r>
          </w:p>
        </w:tc>
      </w:tr>
      <w:tr w:rsidR="0068742D" w:rsidRPr="0068742D" w:rsidTr="0068742D">
        <w:trPr>
          <w:trHeight w:val="20"/>
        </w:trPr>
        <w:tc>
          <w:tcPr>
            <w:tcW w:w="2802" w:type="dxa"/>
            <w:hideMark/>
          </w:tcPr>
          <w:p w:rsidR="0068742D" w:rsidRPr="0068742D" w:rsidRDefault="0068742D" w:rsidP="0068742D">
            <w:pPr>
              <w:spacing w:before="0" w:after="0"/>
              <w:rPr>
                <w:rFonts w:eastAsia="Times New Roman" w:cs="Times New Roman"/>
                <w:szCs w:val="20"/>
                <w:lang w:eastAsia="en-AU"/>
              </w:rPr>
            </w:pPr>
            <w:r w:rsidRPr="0068742D">
              <w:rPr>
                <w:rFonts w:eastAsia="Times New Roman" w:cs="Times New Roman"/>
                <w:szCs w:val="20"/>
                <w:lang w:eastAsia="en-AU"/>
              </w:rPr>
              <w:t>Tasmania</w:t>
            </w:r>
          </w:p>
        </w:tc>
        <w:tc>
          <w:tcPr>
            <w:tcW w:w="850" w:type="dxa"/>
            <w:hideMark/>
          </w:tcPr>
          <w:p w:rsidR="0068742D" w:rsidRPr="0068742D" w:rsidRDefault="0068742D" w:rsidP="0068742D">
            <w:pPr>
              <w:spacing w:before="0" w:after="0"/>
              <w:rPr>
                <w:rFonts w:eastAsia="Times New Roman" w:cs="Times New Roman"/>
                <w:szCs w:val="20"/>
                <w:lang w:eastAsia="en-AU"/>
              </w:rPr>
            </w:pPr>
            <w:r w:rsidRPr="0068742D">
              <w:rPr>
                <w:rFonts w:eastAsia="Times New Roman" w:cs="Times New Roman"/>
                <w:szCs w:val="20"/>
                <w:lang w:eastAsia="en-AU"/>
              </w:rPr>
              <w:t>25.2%</w:t>
            </w:r>
          </w:p>
        </w:tc>
      </w:tr>
      <w:tr w:rsidR="0068742D" w:rsidRPr="0068742D" w:rsidTr="0068742D">
        <w:trPr>
          <w:trHeight w:val="20"/>
        </w:trPr>
        <w:tc>
          <w:tcPr>
            <w:tcW w:w="2802" w:type="dxa"/>
            <w:hideMark/>
          </w:tcPr>
          <w:p w:rsidR="0068742D" w:rsidRPr="0068742D" w:rsidRDefault="0068742D" w:rsidP="0068742D">
            <w:pPr>
              <w:spacing w:before="0" w:after="0"/>
              <w:rPr>
                <w:rFonts w:eastAsia="Times New Roman" w:cs="Times New Roman"/>
                <w:szCs w:val="20"/>
                <w:lang w:eastAsia="en-AU"/>
              </w:rPr>
            </w:pPr>
            <w:r w:rsidRPr="0068742D">
              <w:rPr>
                <w:rFonts w:eastAsia="Times New Roman" w:cs="Times New Roman"/>
                <w:szCs w:val="20"/>
                <w:lang w:eastAsia="en-AU"/>
              </w:rPr>
              <w:t>South Australia</w:t>
            </w:r>
          </w:p>
        </w:tc>
        <w:tc>
          <w:tcPr>
            <w:tcW w:w="850" w:type="dxa"/>
            <w:hideMark/>
          </w:tcPr>
          <w:p w:rsidR="0068742D" w:rsidRPr="0068742D" w:rsidRDefault="0068742D" w:rsidP="0068742D">
            <w:pPr>
              <w:spacing w:before="0" w:after="0"/>
              <w:rPr>
                <w:rFonts w:eastAsia="Times New Roman" w:cs="Times New Roman"/>
                <w:szCs w:val="20"/>
                <w:lang w:eastAsia="en-AU"/>
              </w:rPr>
            </w:pPr>
            <w:r w:rsidRPr="0068742D">
              <w:rPr>
                <w:rFonts w:eastAsia="Times New Roman" w:cs="Times New Roman"/>
                <w:szCs w:val="20"/>
                <w:lang w:eastAsia="en-AU"/>
              </w:rPr>
              <w:t>22.6%</w:t>
            </w:r>
          </w:p>
        </w:tc>
      </w:tr>
      <w:tr w:rsidR="0068742D" w:rsidRPr="0068742D" w:rsidTr="0068742D">
        <w:trPr>
          <w:trHeight w:val="20"/>
        </w:trPr>
        <w:tc>
          <w:tcPr>
            <w:tcW w:w="2802" w:type="dxa"/>
            <w:hideMark/>
          </w:tcPr>
          <w:p w:rsidR="0068742D" w:rsidRPr="0068742D" w:rsidRDefault="0068742D" w:rsidP="0068742D">
            <w:pPr>
              <w:spacing w:before="0" w:after="0"/>
              <w:rPr>
                <w:rFonts w:eastAsia="Times New Roman" w:cs="Times New Roman"/>
                <w:szCs w:val="20"/>
                <w:lang w:eastAsia="en-AU"/>
              </w:rPr>
            </w:pPr>
            <w:r w:rsidRPr="0068742D">
              <w:rPr>
                <w:rFonts w:eastAsia="Times New Roman" w:cs="Times New Roman"/>
                <w:szCs w:val="20"/>
                <w:lang w:eastAsia="en-AU"/>
              </w:rPr>
              <w:t>Victoria</w:t>
            </w:r>
          </w:p>
        </w:tc>
        <w:tc>
          <w:tcPr>
            <w:tcW w:w="850" w:type="dxa"/>
            <w:hideMark/>
          </w:tcPr>
          <w:p w:rsidR="0068742D" w:rsidRPr="0068742D" w:rsidRDefault="0068742D" w:rsidP="0068742D">
            <w:pPr>
              <w:spacing w:before="0" w:after="0"/>
              <w:rPr>
                <w:rFonts w:eastAsia="Times New Roman" w:cs="Times New Roman"/>
                <w:szCs w:val="20"/>
                <w:lang w:eastAsia="en-AU"/>
              </w:rPr>
            </w:pPr>
            <w:r w:rsidRPr="0068742D">
              <w:rPr>
                <w:rFonts w:eastAsia="Times New Roman" w:cs="Times New Roman"/>
                <w:szCs w:val="20"/>
                <w:lang w:eastAsia="en-AU"/>
              </w:rPr>
              <w:t>22.8%</w:t>
            </w:r>
          </w:p>
        </w:tc>
      </w:tr>
      <w:tr w:rsidR="0068742D" w:rsidRPr="0068742D" w:rsidTr="0068742D">
        <w:trPr>
          <w:trHeight w:val="20"/>
        </w:trPr>
        <w:tc>
          <w:tcPr>
            <w:tcW w:w="2802" w:type="dxa"/>
            <w:hideMark/>
          </w:tcPr>
          <w:p w:rsidR="0068742D" w:rsidRPr="0068742D" w:rsidRDefault="0068742D" w:rsidP="0068742D">
            <w:pPr>
              <w:spacing w:before="0" w:after="0"/>
              <w:rPr>
                <w:rFonts w:eastAsia="Times New Roman" w:cs="Times New Roman"/>
                <w:szCs w:val="20"/>
                <w:lang w:eastAsia="en-AU"/>
              </w:rPr>
            </w:pPr>
            <w:r w:rsidRPr="0068742D">
              <w:rPr>
                <w:rFonts w:eastAsia="Times New Roman" w:cs="Times New Roman"/>
                <w:szCs w:val="20"/>
                <w:lang w:eastAsia="en-AU"/>
              </w:rPr>
              <w:t>New South Wales</w:t>
            </w:r>
          </w:p>
        </w:tc>
        <w:tc>
          <w:tcPr>
            <w:tcW w:w="850" w:type="dxa"/>
            <w:hideMark/>
          </w:tcPr>
          <w:p w:rsidR="0068742D" w:rsidRPr="0068742D" w:rsidRDefault="0068742D" w:rsidP="0068742D">
            <w:pPr>
              <w:spacing w:before="0" w:after="0"/>
              <w:rPr>
                <w:rFonts w:eastAsia="Times New Roman" w:cs="Times New Roman"/>
                <w:szCs w:val="20"/>
                <w:lang w:eastAsia="en-AU"/>
              </w:rPr>
            </w:pPr>
            <w:r w:rsidRPr="0068742D">
              <w:rPr>
                <w:rFonts w:eastAsia="Times New Roman" w:cs="Times New Roman"/>
                <w:szCs w:val="20"/>
                <w:lang w:eastAsia="en-AU"/>
              </w:rPr>
              <w:t>21.3%</w:t>
            </w:r>
          </w:p>
        </w:tc>
      </w:tr>
      <w:tr w:rsidR="0068742D" w:rsidRPr="0068742D" w:rsidTr="0068742D">
        <w:trPr>
          <w:trHeight w:val="20"/>
        </w:trPr>
        <w:tc>
          <w:tcPr>
            <w:tcW w:w="2802" w:type="dxa"/>
            <w:hideMark/>
          </w:tcPr>
          <w:p w:rsidR="0068742D" w:rsidRPr="0068742D" w:rsidRDefault="0068742D" w:rsidP="0068742D">
            <w:pPr>
              <w:spacing w:before="0" w:after="0"/>
              <w:rPr>
                <w:rFonts w:eastAsia="Times New Roman" w:cs="Times New Roman"/>
                <w:szCs w:val="20"/>
                <w:lang w:eastAsia="en-AU"/>
              </w:rPr>
            </w:pPr>
            <w:r w:rsidRPr="0068742D">
              <w:rPr>
                <w:rFonts w:eastAsia="Times New Roman" w:cs="Times New Roman"/>
                <w:szCs w:val="20"/>
                <w:lang w:eastAsia="en-AU"/>
              </w:rPr>
              <w:t>Western Australia</w:t>
            </w:r>
          </w:p>
        </w:tc>
        <w:tc>
          <w:tcPr>
            <w:tcW w:w="850" w:type="dxa"/>
            <w:hideMark/>
          </w:tcPr>
          <w:p w:rsidR="0068742D" w:rsidRPr="0068742D" w:rsidRDefault="0068742D" w:rsidP="0068742D">
            <w:pPr>
              <w:spacing w:before="0" w:after="0"/>
              <w:rPr>
                <w:rFonts w:eastAsia="Times New Roman" w:cs="Times New Roman"/>
                <w:szCs w:val="20"/>
                <w:lang w:eastAsia="en-AU"/>
              </w:rPr>
            </w:pPr>
            <w:r w:rsidRPr="0068742D">
              <w:rPr>
                <w:rFonts w:eastAsia="Times New Roman" w:cs="Times New Roman"/>
                <w:szCs w:val="20"/>
                <w:lang w:eastAsia="en-AU"/>
              </w:rPr>
              <w:t>20.4%</w:t>
            </w:r>
          </w:p>
        </w:tc>
      </w:tr>
      <w:tr w:rsidR="0068742D" w:rsidRPr="0068742D" w:rsidTr="0068742D">
        <w:trPr>
          <w:trHeight w:val="20"/>
        </w:trPr>
        <w:tc>
          <w:tcPr>
            <w:tcW w:w="2802" w:type="dxa"/>
            <w:hideMark/>
          </w:tcPr>
          <w:p w:rsidR="0068742D" w:rsidRPr="0068742D" w:rsidRDefault="0068742D" w:rsidP="0068742D">
            <w:pPr>
              <w:spacing w:before="0" w:after="0"/>
              <w:rPr>
                <w:rFonts w:eastAsia="Times New Roman" w:cs="Times New Roman"/>
                <w:szCs w:val="20"/>
                <w:lang w:eastAsia="en-AU"/>
              </w:rPr>
            </w:pPr>
            <w:r w:rsidRPr="0068742D">
              <w:rPr>
                <w:rFonts w:eastAsia="Times New Roman" w:cs="Times New Roman"/>
                <w:szCs w:val="20"/>
                <w:lang w:eastAsia="en-AU"/>
              </w:rPr>
              <w:t>Australian Capital Territory</w:t>
            </w:r>
          </w:p>
        </w:tc>
        <w:tc>
          <w:tcPr>
            <w:tcW w:w="850" w:type="dxa"/>
            <w:hideMark/>
          </w:tcPr>
          <w:p w:rsidR="0068742D" w:rsidRPr="0068742D" w:rsidRDefault="0068742D" w:rsidP="0068742D">
            <w:pPr>
              <w:spacing w:before="0" w:after="0"/>
              <w:rPr>
                <w:rFonts w:eastAsia="Times New Roman" w:cs="Times New Roman"/>
                <w:szCs w:val="20"/>
                <w:lang w:eastAsia="en-AU"/>
              </w:rPr>
            </w:pPr>
            <w:r w:rsidRPr="0068742D">
              <w:rPr>
                <w:rFonts w:eastAsia="Times New Roman" w:cs="Times New Roman"/>
                <w:szCs w:val="20"/>
                <w:lang w:eastAsia="en-AU"/>
              </w:rPr>
              <w:t>23.7%</w:t>
            </w:r>
          </w:p>
        </w:tc>
      </w:tr>
      <w:tr w:rsidR="0068742D" w:rsidRPr="0068742D" w:rsidTr="0068742D">
        <w:trPr>
          <w:trHeight w:val="20"/>
        </w:trPr>
        <w:tc>
          <w:tcPr>
            <w:tcW w:w="2802" w:type="dxa"/>
            <w:hideMark/>
          </w:tcPr>
          <w:p w:rsidR="0068742D" w:rsidRPr="0068742D" w:rsidRDefault="0068742D" w:rsidP="0068742D">
            <w:pPr>
              <w:spacing w:before="0" w:after="0"/>
              <w:rPr>
                <w:rFonts w:eastAsia="Times New Roman" w:cs="Times New Roman"/>
                <w:szCs w:val="20"/>
                <w:lang w:eastAsia="en-AU"/>
              </w:rPr>
            </w:pPr>
            <w:r w:rsidRPr="0068742D">
              <w:rPr>
                <w:rFonts w:eastAsia="Times New Roman" w:cs="Times New Roman"/>
                <w:szCs w:val="20"/>
                <w:lang w:eastAsia="en-AU"/>
              </w:rPr>
              <w:t>Queensland</w:t>
            </w:r>
          </w:p>
        </w:tc>
        <w:tc>
          <w:tcPr>
            <w:tcW w:w="850" w:type="dxa"/>
            <w:hideMark/>
          </w:tcPr>
          <w:p w:rsidR="0068742D" w:rsidRPr="0068742D" w:rsidRDefault="0068742D" w:rsidP="0068742D">
            <w:pPr>
              <w:spacing w:before="0" w:after="0"/>
              <w:rPr>
                <w:rFonts w:eastAsia="Times New Roman" w:cs="Times New Roman"/>
                <w:szCs w:val="20"/>
                <w:lang w:eastAsia="en-AU"/>
              </w:rPr>
            </w:pPr>
            <w:r w:rsidRPr="0068742D">
              <w:rPr>
                <w:rFonts w:eastAsia="Times New Roman" w:cs="Times New Roman"/>
                <w:szCs w:val="20"/>
                <w:lang w:eastAsia="en-AU"/>
              </w:rPr>
              <w:t>22.5%</w:t>
            </w:r>
          </w:p>
        </w:tc>
      </w:tr>
      <w:tr w:rsidR="0068742D" w:rsidRPr="0068742D" w:rsidTr="0068742D">
        <w:trPr>
          <w:trHeight w:val="20"/>
        </w:trPr>
        <w:tc>
          <w:tcPr>
            <w:tcW w:w="2802" w:type="dxa"/>
            <w:hideMark/>
          </w:tcPr>
          <w:p w:rsidR="0068742D" w:rsidRPr="0068742D" w:rsidRDefault="0068742D" w:rsidP="0068742D">
            <w:pPr>
              <w:spacing w:before="0" w:after="0"/>
              <w:rPr>
                <w:rFonts w:eastAsia="Times New Roman" w:cs="Times New Roman"/>
                <w:szCs w:val="20"/>
                <w:lang w:eastAsia="en-AU"/>
              </w:rPr>
            </w:pPr>
            <w:r w:rsidRPr="0068742D">
              <w:rPr>
                <w:rFonts w:eastAsia="Times New Roman" w:cs="Times New Roman"/>
                <w:szCs w:val="20"/>
                <w:lang w:eastAsia="en-AU"/>
              </w:rPr>
              <w:t>Northern Territory</w:t>
            </w:r>
          </w:p>
        </w:tc>
        <w:tc>
          <w:tcPr>
            <w:tcW w:w="850" w:type="dxa"/>
            <w:hideMark/>
          </w:tcPr>
          <w:p w:rsidR="0068742D" w:rsidRPr="0068742D" w:rsidRDefault="0068742D" w:rsidP="0068742D">
            <w:pPr>
              <w:spacing w:before="0" w:after="0"/>
              <w:rPr>
                <w:rFonts w:eastAsia="Times New Roman" w:cs="Times New Roman"/>
                <w:szCs w:val="20"/>
                <w:lang w:eastAsia="en-AU"/>
              </w:rPr>
            </w:pPr>
            <w:r w:rsidRPr="0068742D">
              <w:rPr>
                <w:rFonts w:eastAsia="Times New Roman" w:cs="Times New Roman"/>
                <w:szCs w:val="20"/>
                <w:lang w:eastAsia="en-AU"/>
              </w:rPr>
              <w:t>21.5%</w:t>
            </w:r>
          </w:p>
        </w:tc>
      </w:tr>
    </w:tbl>
    <w:p w:rsidR="0068742D" w:rsidRDefault="0068742D" w:rsidP="0068742D">
      <w:pPr>
        <w:spacing w:before="0" w:after="0"/>
        <w:ind w:left="425"/>
        <w:rPr>
          <w:sz w:val="18"/>
          <w:szCs w:val="18"/>
        </w:rPr>
      </w:pPr>
      <w:r w:rsidRPr="0068742D">
        <w:rPr>
          <w:sz w:val="18"/>
          <w:szCs w:val="18"/>
        </w:rPr>
        <w:t>* Australian Bureau of Statistics. Australian Health Survey 2014/15 (4364.0).</w:t>
      </w:r>
    </w:p>
    <w:p w:rsidR="00C520DD" w:rsidRPr="0068742D" w:rsidRDefault="00C520DD" w:rsidP="00C520DD">
      <w:pPr>
        <w:spacing w:after="0"/>
        <w:ind w:left="425"/>
        <w:jc w:val="both"/>
        <w:rPr>
          <w:szCs w:val="20"/>
        </w:rPr>
      </w:pPr>
      <w:r w:rsidRPr="00C520DD">
        <w:rPr>
          <w:szCs w:val="20"/>
        </w:rPr>
        <w:t xml:space="preserve">In 2014/15, </w:t>
      </w:r>
      <w:r>
        <w:rPr>
          <w:szCs w:val="20"/>
        </w:rPr>
        <w:t>the overall prevalence of</w:t>
      </w:r>
      <w:r w:rsidRPr="00C520DD">
        <w:rPr>
          <w:szCs w:val="20"/>
        </w:rPr>
        <w:t xml:space="preserve"> uncontrolled or unmanaged high blood pressure</w:t>
      </w:r>
      <w:r>
        <w:rPr>
          <w:szCs w:val="20"/>
        </w:rPr>
        <w:t xml:space="preserve"> was 23% (including </w:t>
      </w:r>
      <w:r>
        <w:rPr>
          <w:sz w:val="22"/>
        </w:rPr>
        <w:t>≥ 180/110mmHg).</w:t>
      </w:r>
    </w:p>
    <w:p w:rsidR="0068742D" w:rsidRPr="0068742D" w:rsidRDefault="0068742D" w:rsidP="0068742D">
      <w:pPr>
        <w:spacing w:before="0"/>
        <w:ind w:left="425"/>
        <w:rPr>
          <w:sz w:val="18"/>
          <w:szCs w:val="18"/>
        </w:rPr>
      </w:pPr>
    </w:p>
    <w:p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rsidR="00382407" w:rsidRPr="00154B00" w:rsidRDefault="00DB05BF" w:rsidP="00AE1188">
      <w:pPr>
        <w:ind w:left="426"/>
        <w:rPr>
          <w:szCs w:val="20"/>
        </w:rPr>
      </w:pPr>
      <w:r>
        <w:rPr>
          <w:szCs w:val="20"/>
        </w:rPr>
        <w:t>The proposed service would be funded up to a</w:t>
      </w:r>
      <w:r w:rsidR="00336EE7">
        <w:rPr>
          <w:szCs w:val="20"/>
        </w:rPr>
        <w:t xml:space="preserve"> maximum of </w:t>
      </w:r>
      <w:r w:rsidR="00CC606A">
        <w:rPr>
          <w:szCs w:val="20"/>
        </w:rPr>
        <w:t>two</w:t>
      </w:r>
      <w:r w:rsidR="00336EE7">
        <w:rPr>
          <w:szCs w:val="20"/>
        </w:rPr>
        <w:t xml:space="preserve"> services per year.</w:t>
      </w:r>
    </w:p>
    <w:p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rsidR="00382407" w:rsidRPr="00336EE7" w:rsidRDefault="005279D7" w:rsidP="00DB05BF">
      <w:pPr>
        <w:ind w:left="426"/>
        <w:jc w:val="both"/>
        <w:rPr>
          <w:szCs w:val="20"/>
        </w:rPr>
      </w:pPr>
      <w:r>
        <w:rPr>
          <w:szCs w:val="20"/>
        </w:rPr>
        <w:t>N/A</w:t>
      </w:r>
    </w:p>
    <w:p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rsidR="00AE1188" w:rsidRPr="00154B00" w:rsidRDefault="005279D7" w:rsidP="00DB05BF">
      <w:pPr>
        <w:ind w:left="426"/>
        <w:jc w:val="both"/>
        <w:rPr>
          <w:szCs w:val="20"/>
        </w:rPr>
      </w:pPr>
      <w:r>
        <w:rPr>
          <w:szCs w:val="20"/>
        </w:rPr>
        <w:t xml:space="preserve">The potential patient population would be made up of two groups of patients.  Firstly, patient with high blood pressure who are taking hypertension medication (7% of the population).  Secondly, patients newly diagnosed with clinic blood pressure ≥ 140/90mmHg who the doctor suspects may have an elevated pressure due to white coat syndrome, for example (20% </w:t>
      </w:r>
      <w:r w:rsidR="008C57EC">
        <w:rPr>
          <w:szCs w:val="20"/>
        </w:rPr>
        <w:t xml:space="preserve">of newly diagnosed).  Assuming a total of 10% of the total population is the potential patient population, that is, 250,000, the estimated projected patient population in the first year could be </w:t>
      </w:r>
      <w:r w:rsidR="003A1031">
        <w:rPr>
          <w:szCs w:val="20"/>
        </w:rPr>
        <w:t>10%, that is, 25,000.</w:t>
      </w:r>
    </w:p>
    <w:p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rsidR="001B171D" w:rsidRPr="00154B00" w:rsidRDefault="00DB05BF" w:rsidP="00DB05BF">
      <w:pPr>
        <w:ind w:left="426"/>
        <w:jc w:val="both"/>
        <w:rPr>
          <w:szCs w:val="20"/>
        </w:rPr>
      </w:pPr>
      <w:r>
        <w:rPr>
          <w:szCs w:val="20"/>
        </w:rPr>
        <w:t xml:space="preserve">Predicted growth could be based on a doubling of the population each year.  This would give </w:t>
      </w:r>
      <w:r w:rsidR="003A1031">
        <w:rPr>
          <w:szCs w:val="20"/>
        </w:rPr>
        <w:t>25</w:t>
      </w:r>
      <w:r>
        <w:rPr>
          <w:szCs w:val="20"/>
        </w:rPr>
        <w:t>,000 for the first year, 50,000 for the second year and 1</w:t>
      </w:r>
      <w:r w:rsidR="003A1031">
        <w:rPr>
          <w:szCs w:val="20"/>
        </w:rPr>
        <w:t xml:space="preserve">00,000 for the third.  </w:t>
      </w:r>
      <w:r w:rsidR="003A1031" w:rsidRPr="003A1031">
        <w:rPr>
          <w:i/>
          <w:szCs w:val="20"/>
        </w:rPr>
        <w:t>(It’s freely admitted that these estimates are closer to guesstimates!)</w:t>
      </w:r>
    </w:p>
    <w:p w:rsidR="003433D1" w:rsidRDefault="003433D1">
      <w:pPr>
        <w:rPr>
          <w:b/>
          <w:sz w:val="32"/>
          <w:szCs w:val="32"/>
        </w:rPr>
      </w:pPr>
      <w:r>
        <w:rPr>
          <w:b/>
          <w:sz w:val="32"/>
          <w:szCs w:val="32"/>
        </w:rPr>
        <w:br w:type="page"/>
      </w:r>
    </w:p>
    <w:p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rsidR="00F737A6" w:rsidRPr="000A35E7" w:rsidRDefault="00AC266B" w:rsidP="009A3967">
      <w:pPr>
        <w:spacing w:before="0" w:after="0"/>
        <w:ind w:left="426"/>
        <w:rPr>
          <w:szCs w:val="20"/>
        </w:rPr>
      </w:pPr>
      <w:r>
        <w:t>REDACTED</w:t>
      </w:r>
    </w:p>
    <w:p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rsidR="00F737A6" w:rsidRPr="00AC266B" w:rsidRDefault="00AC266B" w:rsidP="00AC266B">
      <w:pPr>
        <w:ind w:left="426"/>
        <w:rPr>
          <w:szCs w:val="20"/>
        </w:rPr>
      </w:pPr>
      <w:r>
        <w:t>REDACTED</w:t>
      </w:r>
    </w:p>
    <w:p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rsidR="00216F7B" w:rsidRPr="00216F7B" w:rsidRDefault="00216F7B" w:rsidP="00216F7B">
      <w:pPr>
        <w:spacing w:after="0"/>
        <w:ind w:left="426"/>
        <w:jc w:val="both"/>
        <w:rPr>
          <w:sz w:val="22"/>
        </w:rPr>
      </w:pPr>
      <w:r w:rsidRPr="00216F7B">
        <w:rPr>
          <w:sz w:val="22"/>
        </w:rPr>
        <w:t>Category 2 - DIAGNOSTIC PROCEDURES AND INVESTIGATIONS</w:t>
      </w:r>
    </w:p>
    <w:p w:rsidR="00216F7B" w:rsidRPr="00216F7B" w:rsidRDefault="00216F7B" w:rsidP="00D713F8">
      <w:pPr>
        <w:spacing w:before="0" w:after="0"/>
        <w:ind w:left="425"/>
        <w:jc w:val="both"/>
        <w:rPr>
          <w:sz w:val="22"/>
        </w:rPr>
      </w:pPr>
      <w:r w:rsidRPr="00216F7B">
        <w:rPr>
          <w:sz w:val="22"/>
        </w:rPr>
        <w:t>Group D1 - Misce</w:t>
      </w:r>
      <w:r w:rsidR="00CA553B">
        <w:rPr>
          <w:sz w:val="22"/>
        </w:rPr>
        <w:t>llaneous Diagnostic Procedures a</w:t>
      </w:r>
      <w:r w:rsidRPr="00216F7B">
        <w:rPr>
          <w:sz w:val="22"/>
        </w:rPr>
        <w:t>nd Investigations</w:t>
      </w:r>
    </w:p>
    <w:p w:rsidR="00216F7B" w:rsidRPr="00295AD6" w:rsidRDefault="00216F7B" w:rsidP="00216F7B">
      <w:pPr>
        <w:spacing w:after="0"/>
        <w:ind w:left="426"/>
        <w:jc w:val="both"/>
        <w:rPr>
          <w:sz w:val="22"/>
          <w:u w:val="single"/>
        </w:rPr>
      </w:pPr>
      <w:r w:rsidRPr="00295AD6">
        <w:rPr>
          <w:sz w:val="22"/>
          <w:u w:val="single"/>
        </w:rPr>
        <w:t>MBS Item 116XX</w:t>
      </w:r>
    </w:p>
    <w:p w:rsidR="00216F7B" w:rsidRPr="000A35E7" w:rsidRDefault="00216F7B" w:rsidP="00216F7B">
      <w:pPr>
        <w:spacing w:after="0"/>
        <w:ind w:left="426"/>
        <w:jc w:val="both"/>
        <w:rPr>
          <w:sz w:val="22"/>
        </w:rPr>
      </w:pPr>
      <w:r w:rsidRPr="00216F7B">
        <w:rPr>
          <w:sz w:val="22"/>
        </w:rPr>
        <w:t xml:space="preserve">Continuous blood pressure recording of ambulatory patient for 24 or more hours (including resting blood pressure and the recording of parameters), not in association with ambulatory ECG monitoring, involving microprocessor based analysis equipment, interpretation and report </w:t>
      </w:r>
      <w:r w:rsidRPr="000A35E7">
        <w:rPr>
          <w:sz w:val="22"/>
        </w:rPr>
        <w:t xml:space="preserve">of recordings by a </w:t>
      </w:r>
      <w:r w:rsidR="00BB5D8D" w:rsidRPr="000A35E7">
        <w:rPr>
          <w:sz w:val="22"/>
        </w:rPr>
        <w:t>general practitioner or specialist in hypertension</w:t>
      </w:r>
      <w:r w:rsidRPr="000A35E7">
        <w:rPr>
          <w:sz w:val="22"/>
        </w:rPr>
        <w:t>.</w:t>
      </w:r>
    </w:p>
    <w:p w:rsidR="00216F7B" w:rsidRPr="00216F7B" w:rsidRDefault="00216F7B" w:rsidP="00216F7B">
      <w:pPr>
        <w:spacing w:after="0"/>
        <w:ind w:left="426"/>
        <w:rPr>
          <w:sz w:val="22"/>
        </w:rPr>
      </w:pPr>
      <w:r w:rsidRPr="00216F7B">
        <w:rPr>
          <w:sz w:val="22"/>
        </w:rPr>
        <w:t>For a patient who:</w:t>
      </w:r>
    </w:p>
    <w:p w:rsidR="00216F7B" w:rsidRPr="00216F7B" w:rsidRDefault="00216F7B" w:rsidP="00295AD6">
      <w:pPr>
        <w:numPr>
          <w:ilvl w:val="0"/>
          <w:numId w:val="37"/>
        </w:numPr>
        <w:spacing w:after="0"/>
        <w:ind w:left="851"/>
        <w:contextualSpacing/>
        <w:rPr>
          <w:sz w:val="22"/>
        </w:rPr>
      </w:pPr>
      <w:r w:rsidRPr="00216F7B">
        <w:rPr>
          <w:sz w:val="22"/>
        </w:rPr>
        <w:t>Measures ≥ 140/90</w:t>
      </w:r>
      <w:r w:rsidR="00295AD6">
        <w:rPr>
          <w:sz w:val="22"/>
        </w:rPr>
        <w:t>mmHg</w:t>
      </w:r>
      <w:r w:rsidRPr="00216F7B">
        <w:rPr>
          <w:sz w:val="22"/>
        </w:rPr>
        <w:t xml:space="preserve"> </w:t>
      </w:r>
      <w:r w:rsidR="00B501D0">
        <w:rPr>
          <w:sz w:val="22"/>
        </w:rPr>
        <w:t>and</w:t>
      </w:r>
      <w:r w:rsidRPr="00216F7B">
        <w:rPr>
          <w:sz w:val="22"/>
        </w:rPr>
        <w:t xml:space="preserve"> ≤ 180/110</w:t>
      </w:r>
      <w:r w:rsidR="00295AD6">
        <w:rPr>
          <w:sz w:val="22"/>
        </w:rPr>
        <w:t>mmHg</w:t>
      </w:r>
      <w:r w:rsidRPr="00216F7B">
        <w:rPr>
          <w:sz w:val="22"/>
        </w:rPr>
        <w:t xml:space="preserve"> </w:t>
      </w:r>
      <w:r w:rsidR="00295AD6">
        <w:rPr>
          <w:sz w:val="22"/>
        </w:rPr>
        <w:t xml:space="preserve">using a </w:t>
      </w:r>
      <w:r w:rsidR="00295AD6" w:rsidRPr="00295AD6">
        <w:rPr>
          <w:sz w:val="22"/>
        </w:rPr>
        <w:t>sphygmomanometer</w:t>
      </w:r>
    </w:p>
    <w:p w:rsidR="00216F7B" w:rsidRPr="00216F7B" w:rsidRDefault="00216F7B" w:rsidP="00216F7B">
      <w:pPr>
        <w:numPr>
          <w:ilvl w:val="0"/>
          <w:numId w:val="37"/>
        </w:numPr>
        <w:spacing w:after="0"/>
        <w:ind w:left="851"/>
        <w:contextualSpacing/>
        <w:rPr>
          <w:sz w:val="22"/>
        </w:rPr>
      </w:pPr>
      <w:r w:rsidRPr="00216F7B">
        <w:rPr>
          <w:sz w:val="22"/>
        </w:rPr>
        <w:t xml:space="preserve">Max </w:t>
      </w:r>
      <w:r w:rsidR="00510712">
        <w:rPr>
          <w:sz w:val="22"/>
        </w:rPr>
        <w:t>two</w:t>
      </w:r>
      <w:r w:rsidRPr="00216F7B">
        <w:rPr>
          <w:sz w:val="22"/>
        </w:rPr>
        <w:t xml:space="preserve"> time</w:t>
      </w:r>
      <w:r w:rsidR="00510712">
        <w:rPr>
          <w:sz w:val="22"/>
        </w:rPr>
        <w:t>s</w:t>
      </w:r>
      <w:r w:rsidRPr="00216F7B">
        <w:rPr>
          <w:sz w:val="22"/>
        </w:rPr>
        <w:t xml:space="preserve"> per year</w:t>
      </w:r>
    </w:p>
    <w:p w:rsidR="00216F7B" w:rsidRDefault="00216F7B" w:rsidP="00216F7B">
      <w:pPr>
        <w:spacing w:after="0"/>
        <w:ind w:left="426"/>
        <w:rPr>
          <w:sz w:val="22"/>
        </w:rPr>
      </w:pPr>
      <w:r w:rsidRPr="00216F7B">
        <w:rPr>
          <w:sz w:val="22"/>
        </w:rPr>
        <w:t>Fee: $127.90 Benefit: 75% = $95.95 85% = $108.75</w:t>
      </w:r>
    </w:p>
    <w:p w:rsidR="00AE1188" w:rsidRDefault="00AE1188" w:rsidP="004A0BF4">
      <w:pPr>
        <w:pStyle w:val="Heading2"/>
        <w:numPr>
          <w:ilvl w:val="0"/>
          <w:numId w:val="0"/>
        </w:numPr>
        <w:ind w:left="360"/>
      </w:pPr>
      <w:r>
        <w:br w:type="page"/>
      </w:r>
    </w:p>
    <w:p w:rsidR="00E058F2" w:rsidRPr="00C776B1" w:rsidRDefault="001B5169" w:rsidP="00AE1188">
      <w:pPr>
        <w:pStyle w:val="Heading1"/>
      </w:pPr>
      <w:r>
        <w:lastRenderedPageBreak/>
        <w:t>PART 9</w:t>
      </w:r>
      <w:r w:rsidR="00F93784">
        <w:t xml:space="preserve"> – </w:t>
      </w:r>
      <w:r w:rsidR="00E058F2" w:rsidRPr="00C776B1">
        <w:t>FEEDBACK</w:t>
      </w:r>
    </w:p>
    <w:p w:rsidR="00E058F2" w:rsidRPr="00154B00" w:rsidRDefault="00E058F2" w:rsidP="00E058F2">
      <w:pPr>
        <w:rPr>
          <w:szCs w:val="20"/>
        </w:rPr>
      </w:pPr>
      <w:r w:rsidRPr="00154B00">
        <w:rPr>
          <w:szCs w:val="20"/>
        </w:rPr>
        <w:t>The Department</w:t>
      </w:r>
      <w:r w:rsidR="005A58BA">
        <w:rPr>
          <w:szCs w:val="20"/>
        </w:rPr>
        <w:t xml:space="preserve"> is interested in your feedback.</w:t>
      </w:r>
    </w:p>
    <w:p w:rsidR="00E058F2" w:rsidRPr="00AE1188" w:rsidRDefault="00E058F2" w:rsidP="001B5169">
      <w:pPr>
        <w:pStyle w:val="Heading2"/>
      </w:pPr>
      <w:r w:rsidRPr="00AE1188">
        <w:t>How long did it take to complete the Application Form?</w:t>
      </w:r>
    </w:p>
    <w:p w:rsidR="00E058F2" w:rsidRPr="00154B00" w:rsidRDefault="00603D04" w:rsidP="00603D04">
      <w:pPr>
        <w:ind w:left="426"/>
        <w:rPr>
          <w:szCs w:val="20"/>
        </w:rPr>
      </w:pPr>
      <w:r>
        <w:fldChar w:fldCharType="begin">
          <w:ffData>
            <w:name w:val=""/>
            <w:enabled/>
            <w:calcOnExit w:val="0"/>
            <w:textInput>
              <w:default w:val="Insert approximate duration here"/>
            </w:textInput>
          </w:ffData>
        </w:fldChar>
      </w:r>
      <w:r>
        <w:instrText xml:space="preserve"> FORMTEXT </w:instrText>
      </w:r>
      <w:r>
        <w:fldChar w:fldCharType="separate"/>
      </w:r>
      <w:r>
        <w:rPr>
          <w:noProof/>
        </w:rPr>
        <w:t>Insert approximate duration here</w:t>
      </w:r>
      <w:r>
        <w:fldChar w:fldCharType="end"/>
      </w:r>
    </w:p>
    <w:p w:rsidR="001845D9" w:rsidRPr="00154B00" w:rsidRDefault="001B5169" w:rsidP="00530204">
      <w:pPr>
        <w:pStyle w:val="Heading2"/>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DD4A3B">
        <w:rPr>
          <w:szCs w:val="20"/>
        </w:rPr>
      </w:r>
      <w:r w:rsidR="00DD4A3B">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DD4A3B">
        <w:rPr>
          <w:szCs w:val="20"/>
        </w:rPr>
      </w:r>
      <w:r w:rsidR="00DD4A3B">
        <w:rPr>
          <w:szCs w:val="20"/>
        </w:rPr>
        <w:fldChar w:fldCharType="separate"/>
      </w:r>
      <w:r w:rsidRPr="001B29A1">
        <w:rPr>
          <w:szCs w:val="20"/>
        </w:rPr>
        <w:fldChar w:fldCharType="end"/>
      </w:r>
      <w:r w:rsidRPr="001B29A1">
        <w:rPr>
          <w:szCs w:val="20"/>
        </w:rPr>
        <w:t xml:space="preserve"> </w:t>
      </w:r>
      <w:r>
        <w:rPr>
          <w:szCs w:val="20"/>
        </w:rPr>
        <w:t>No</w:t>
      </w:r>
    </w:p>
    <w:p w:rsidR="003D6DE1" w:rsidRPr="00154B00" w:rsidRDefault="00603D04" w:rsidP="001B5169">
      <w:pPr>
        <w:pStyle w:val="Heading2"/>
        <w:numPr>
          <w:ilvl w:val="0"/>
          <w:numId w:val="31"/>
        </w:numPr>
      </w:pPr>
      <w:r>
        <w:t>If no, provide areas of concern:</w:t>
      </w:r>
    </w:p>
    <w:p w:rsidR="003D6DE1" w:rsidRPr="00154B00" w:rsidRDefault="00603D04" w:rsidP="00603D04">
      <w:pPr>
        <w:ind w:left="426"/>
        <w:rPr>
          <w:szCs w:val="20"/>
        </w:rPr>
      </w:pPr>
      <w:r>
        <w:fldChar w:fldCharType="begin">
          <w:ffData>
            <w:name w:val=""/>
            <w:enabled/>
            <w:calcOnExit w:val="0"/>
            <w:textInput>
              <w:default w:val="Describe areas of concern here"/>
            </w:textInput>
          </w:ffData>
        </w:fldChar>
      </w:r>
      <w:r>
        <w:instrText xml:space="preserve"> FORMTEXT </w:instrText>
      </w:r>
      <w:r>
        <w:fldChar w:fldCharType="separate"/>
      </w:r>
      <w:r>
        <w:rPr>
          <w:noProof/>
        </w:rPr>
        <w:t>Describe areas of concern here</w:t>
      </w:r>
      <w:r>
        <w:fldChar w:fldCharType="end"/>
      </w:r>
    </w:p>
    <w:p w:rsidR="00E058F2" w:rsidRPr="00154B00" w:rsidRDefault="001B5169" w:rsidP="00530204">
      <w:pPr>
        <w:pStyle w:val="Heading2"/>
      </w:pPr>
      <w:r>
        <w:t xml:space="preserve">(a) </w:t>
      </w:r>
      <w:r w:rsidR="00E058F2" w:rsidRPr="00603D04">
        <w:t>Are</w:t>
      </w:r>
      <w:r w:rsidR="00E058F2" w:rsidRPr="00154B00">
        <w:t xml:space="preserve"> the associated Guidelines to the Application Form useful?</w:t>
      </w:r>
    </w:p>
    <w:p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DD4A3B">
        <w:rPr>
          <w:szCs w:val="20"/>
        </w:rPr>
      </w:r>
      <w:r w:rsidR="00DD4A3B">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DD4A3B">
        <w:rPr>
          <w:szCs w:val="20"/>
        </w:rPr>
      </w:r>
      <w:r w:rsidR="00DD4A3B">
        <w:rPr>
          <w:szCs w:val="20"/>
        </w:rPr>
        <w:fldChar w:fldCharType="separate"/>
      </w:r>
      <w:r w:rsidRPr="001B29A1">
        <w:rPr>
          <w:szCs w:val="20"/>
        </w:rPr>
        <w:fldChar w:fldCharType="end"/>
      </w:r>
      <w:r w:rsidRPr="001B29A1">
        <w:rPr>
          <w:szCs w:val="20"/>
        </w:rPr>
        <w:t xml:space="preserve"> </w:t>
      </w:r>
      <w:r>
        <w:rPr>
          <w:szCs w:val="20"/>
        </w:rPr>
        <w:t>No</w:t>
      </w:r>
    </w:p>
    <w:p w:rsidR="003D6DE1" w:rsidRPr="00154B00" w:rsidRDefault="003D6DE1" w:rsidP="001B5169">
      <w:pPr>
        <w:pStyle w:val="Heading2"/>
        <w:numPr>
          <w:ilvl w:val="0"/>
          <w:numId w:val="32"/>
        </w:numPr>
      </w:pPr>
      <w:r>
        <w:t>If no, what areas did you find not to be useful?</w:t>
      </w:r>
    </w:p>
    <w:p w:rsidR="003D6DE1" w:rsidRPr="00154B00" w:rsidRDefault="00603D04" w:rsidP="00603D04">
      <w:pPr>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p w:rsidR="00E058F2" w:rsidRPr="00154B00" w:rsidRDefault="001B5169" w:rsidP="00530204">
      <w:pPr>
        <w:pStyle w:val="Heading2"/>
      </w:pPr>
      <w:r>
        <w:t xml:space="preserve">(a) </w:t>
      </w:r>
      <w:r w:rsidR="00E058F2" w:rsidRPr="00154B00">
        <w:t xml:space="preserve">Is there </w:t>
      </w:r>
      <w:r w:rsidR="00E058F2" w:rsidRPr="00603D04">
        <w:t>any</w:t>
      </w:r>
      <w:r w:rsidR="00E058F2" w:rsidRPr="00154B00">
        <w:t xml:space="preserve"> information that the Department should consider in the future</w:t>
      </w:r>
      <w:r w:rsidR="00CF2DFA" w:rsidRPr="00154B00">
        <w:t xml:space="preserve"> relating to the questions within the Application Form</w:t>
      </w:r>
      <w:r w:rsidR="00E058F2" w:rsidRPr="00154B00">
        <w:t xml:space="preserve"> that is not contained in the Application Form?</w:t>
      </w:r>
    </w:p>
    <w:p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DD4A3B">
        <w:rPr>
          <w:szCs w:val="20"/>
        </w:rPr>
      </w:r>
      <w:r w:rsidR="00DD4A3B">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DD4A3B">
        <w:rPr>
          <w:szCs w:val="20"/>
        </w:rPr>
      </w:r>
      <w:r w:rsidR="00DD4A3B">
        <w:rPr>
          <w:szCs w:val="20"/>
        </w:rPr>
        <w:fldChar w:fldCharType="separate"/>
      </w:r>
      <w:r w:rsidRPr="001B29A1">
        <w:rPr>
          <w:szCs w:val="20"/>
        </w:rPr>
        <w:fldChar w:fldCharType="end"/>
      </w:r>
      <w:r w:rsidRPr="001B29A1">
        <w:rPr>
          <w:szCs w:val="20"/>
        </w:rPr>
        <w:t xml:space="preserve"> </w:t>
      </w:r>
      <w:r>
        <w:rPr>
          <w:szCs w:val="20"/>
        </w:rPr>
        <w:t>No</w:t>
      </w:r>
    </w:p>
    <w:p w:rsidR="001845D9" w:rsidRPr="00154B00" w:rsidRDefault="001845D9" w:rsidP="001B5169">
      <w:pPr>
        <w:pStyle w:val="Heading2"/>
        <w:numPr>
          <w:ilvl w:val="0"/>
          <w:numId w:val="33"/>
        </w:numPr>
      </w:pPr>
      <w:r w:rsidRPr="00154B00">
        <w:t>If yes, please advise:</w:t>
      </w:r>
    </w:p>
    <w:p w:rsidR="00451840" w:rsidRDefault="00603D04" w:rsidP="00603D04">
      <w:pPr>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sectPr w:rsidR="00451840"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6C5" w:rsidRDefault="003816C5" w:rsidP="00CF2DFA">
      <w:pPr>
        <w:spacing w:after="0"/>
      </w:pPr>
      <w:r>
        <w:separator/>
      </w:r>
    </w:p>
  </w:endnote>
  <w:endnote w:type="continuationSeparator" w:id="0">
    <w:p w:rsidR="003816C5" w:rsidRDefault="003816C5"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rsidR="001F71C3" w:rsidRDefault="001F71C3">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DD4A3B" w:rsidRPr="00DD4A3B">
          <w:rPr>
            <w:b/>
            <w:bCs/>
            <w:noProof/>
            <w:sz w:val="18"/>
            <w:szCs w:val="18"/>
          </w:rPr>
          <w:t>20</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rsidR="001F71C3" w:rsidRPr="003F7CB9" w:rsidRDefault="001F71C3"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6C5" w:rsidRDefault="003816C5" w:rsidP="00CF2DFA">
      <w:pPr>
        <w:spacing w:after="0"/>
      </w:pPr>
      <w:r>
        <w:separator/>
      </w:r>
    </w:p>
  </w:footnote>
  <w:footnote w:type="continuationSeparator" w:id="0">
    <w:p w:rsidR="003816C5" w:rsidRDefault="003816C5" w:rsidP="00CF2D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F16D4D"/>
    <w:multiLevelType w:val="hybridMultilevel"/>
    <w:tmpl w:val="D89A1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375A2A19"/>
    <w:multiLevelType w:val="hybridMultilevel"/>
    <w:tmpl w:val="53568D5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3D4300E7"/>
    <w:multiLevelType w:val="hybridMultilevel"/>
    <w:tmpl w:val="83F4A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81438D"/>
    <w:multiLevelType w:val="hybridMultilevel"/>
    <w:tmpl w:val="870EB67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4D968CD"/>
    <w:multiLevelType w:val="hybridMultilevel"/>
    <w:tmpl w:val="9BEEA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15:restartNumberingAfterBreak="0">
    <w:nsid w:val="4C1039CA"/>
    <w:multiLevelType w:val="hybridMultilevel"/>
    <w:tmpl w:val="50125AE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7"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8710EFA"/>
    <w:multiLevelType w:val="hybridMultilevel"/>
    <w:tmpl w:val="6DCED64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3392DEA"/>
    <w:multiLevelType w:val="hybridMultilevel"/>
    <w:tmpl w:val="4FBC4C0E"/>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7" w15:restartNumberingAfterBreak="0">
    <w:nsid w:val="75417D33"/>
    <w:multiLevelType w:val="hybridMultilevel"/>
    <w:tmpl w:val="BD8E76D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17"/>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9"/>
  </w:num>
  <w:num w:numId="4">
    <w:abstractNumId w:val="5"/>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8"/>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22"/>
  </w:num>
  <w:num w:numId="26">
    <w:abstractNumId w:val="4"/>
  </w:num>
  <w:num w:numId="27">
    <w:abstractNumId w:val="19"/>
  </w:num>
  <w:num w:numId="28">
    <w:abstractNumId w:val="13"/>
  </w:num>
  <w:num w:numId="29">
    <w:abstractNumId w:val="24"/>
  </w:num>
  <w:num w:numId="30">
    <w:abstractNumId w:val="3"/>
  </w:num>
  <w:num w:numId="31">
    <w:abstractNumId w:val="21"/>
  </w:num>
  <w:num w:numId="32">
    <w:abstractNumId w:val="7"/>
  </w:num>
  <w:num w:numId="33">
    <w:abstractNumId w:val="20"/>
  </w:num>
  <w:num w:numId="34">
    <w:abstractNumId w:val="6"/>
  </w:num>
  <w:num w:numId="35">
    <w:abstractNumId w:val="15"/>
  </w:num>
  <w:num w:numId="36">
    <w:abstractNumId w:val="0"/>
  </w:num>
  <w:num w:numId="37">
    <w:abstractNumId w:val="11"/>
  </w:num>
  <w:num w:numId="38">
    <w:abstractNumId w:val="27"/>
  </w:num>
  <w:num w:numId="39">
    <w:abstractNumId w:val="2"/>
  </w:num>
  <w:num w:numId="40">
    <w:abstractNumId w:val="16"/>
  </w:num>
  <w:num w:numId="41">
    <w:abstractNumId w:val="10"/>
  </w:num>
  <w:num w:numId="42">
    <w:abstractNumId w:val="14"/>
  </w:num>
  <w:num w:numId="43">
    <w:abstractNumId w:val="23"/>
  </w:num>
  <w:num w:numId="44">
    <w:abstractNumId w:val="26"/>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034B1"/>
    <w:rsid w:val="000110DC"/>
    <w:rsid w:val="000158AA"/>
    <w:rsid w:val="000159B9"/>
    <w:rsid w:val="00016B6E"/>
    <w:rsid w:val="00023E21"/>
    <w:rsid w:val="00025ABC"/>
    <w:rsid w:val="00026412"/>
    <w:rsid w:val="00031489"/>
    <w:rsid w:val="00031F6F"/>
    <w:rsid w:val="00034D6E"/>
    <w:rsid w:val="0005089D"/>
    <w:rsid w:val="000525BC"/>
    <w:rsid w:val="00073222"/>
    <w:rsid w:val="000770BA"/>
    <w:rsid w:val="0008580C"/>
    <w:rsid w:val="00092580"/>
    <w:rsid w:val="000955E7"/>
    <w:rsid w:val="000A110D"/>
    <w:rsid w:val="000A35E7"/>
    <w:rsid w:val="000A478F"/>
    <w:rsid w:val="000A5B32"/>
    <w:rsid w:val="000B3CD0"/>
    <w:rsid w:val="000B66D4"/>
    <w:rsid w:val="000D066E"/>
    <w:rsid w:val="000D0831"/>
    <w:rsid w:val="000E47E7"/>
    <w:rsid w:val="000E5439"/>
    <w:rsid w:val="00102686"/>
    <w:rsid w:val="0011036E"/>
    <w:rsid w:val="001130B0"/>
    <w:rsid w:val="0011369B"/>
    <w:rsid w:val="0011742E"/>
    <w:rsid w:val="001239C3"/>
    <w:rsid w:val="00123D10"/>
    <w:rsid w:val="00126B33"/>
    <w:rsid w:val="0014031E"/>
    <w:rsid w:val="00151F05"/>
    <w:rsid w:val="00154B00"/>
    <w:rsid w:val="001644E9"/>
    <w:rsid w:val="001845D9"/>
    <w:rsid w:val="0018630F"/>
    <w:rsid w:val="001906CD"/>
    <w:rsid w:val="00191B99"/>
    <w:rsid w:val="0019694B"/>
    <w:rsid w:val="00197D29"/>
    <w:rsid w:val="001A02E3"/>
    <w:rsid w:val="001A1ADF"/>
    <w:rsid w:val="001A365C"/>
    <w:rsid w:val="001B171D"/>
    <w:rsid w:val="001B29A1"/>
    <w:rsid w:val="001B5169"/>
    <w:rsid w:val="001B6164"/>
    <w:rsid w:val="001C58CC"/>
    <w:rsid w:val="001D77ED"/>
    <w:rsid w:val="001E1180"/>
    <w:rsid w:val="001E23EA"/>
    <w:rsid w:val="001E6919"/>
    <w:rsid w:val="001E6958"/>
    <w:rsid w:val="001F71C3"/>
    <w:rsid w:val="00201924"/>
    <w:rsid w:val="00202473"/>
    <w:rsid w:val="002053F2"/>
    <w:rsid w:val="00206D63"/>
    <w:rsid w:val="0021185D"/>
    <w:rsid w:val="00216F7B"/>
    <w:rsid w:val="00226777"/>
    <w:rsid w:val="00235BD1"/>
    <w:rsid w:val="00242B0E"/>
    <w:rsid w:val="00243197"/>
    <w:rsid w:val="00247DF0"/>
    <w:rsid w:val="00254813"/>
    <w:rsid w:val="00257FF2"/>
    <w:rsid w:val="00265822"/>
    <w:rsid w:val="0027105F"/>
    <w:rsid w:val="002711FB"/>
    <w:rsid w:val="00283318"/>
    <w:rsid w:val="00285525"/>
    <w:rsid w:val="00294CD8"/>
    <w:rsid w:val="00295AD6"/>
    <w:rsid w:val="002A270B"/>
    <w:rsid w:val="002A50FD"/>
    <w:rsid w:val="002A6753"/>
    <w:rsid w:val="002B28D7"/>
    <w:rsid w:val="002B7299"/>
    <w:rsid w:val="002B7EB6"/>
    <w:rsid w:val="002C0B61"/>
    <w:rsid w:val="002C15E6"/>
    <w:rsid w:val="002C247D"/>
    <w:rsid w:val="002C3345"/>
    <w:rsid w:val="002D409A"/>
    <w:rsid w:val="002F30E7"/>
    <w:rsid w:val="00300EEB"/>
    <w:rsid w:val="003013A9"/>
    <w:rsid w:val="003020B5"/>
    <w:rsid w:val="003027BB"/>
    <w:rsid w:val="00310A10"/>
    <w:rsid w:val="00312EFF"/>
    <w:rsid w:val="00327D25"/>
    <w:rsid w:val="003319A7"/>
    <w:rsid w:val="00334FE3"/>
    <w:rsid w:val="00336EE7"/>
    <w:rsid w:val="003421AE"/>
    <w:rsid w:val="003433D1"/>
    <w:rsid w:val="00344B24"/>
    <w:rsid w:val="003456B9"/>
    <w:rsid w:val="0035067D"/>
    <w:rsid w:val="00353A16"/>
    <w:rsid w:val="0035776D"/>
    <w:rsid w:val="00364FD9"/>
    <w:rsid w:val="00367C1B"/>
    <w:rsid w:val="00376B61"/>
    <w:rsid w:val="003816C5"/>
    <w:rsid w:val="00382407"/>
    <w:rsid w:val="00386A64"/>
    <w:rsid w:val="00386FA1"/>
    <w:rsid w:val="00390142"/>
    <w:rsid w:val="00392F00"/>
    <w:rsid w:val="00397377"/>
    <w:rsid w:val="003A1031"/>
    <w:rsid w:val="003A22DE"/>
    <w:rsid w:val="003A2860"/>
    <w:rsid w:val="003A3C35"/>
    <w:rsid w:val="003A7D30"/>
    <w:rsid w:val="003B3C5C"/>
    <w:rsid w:val="003B5869"/>
    <w:rsid w:val="003C0D22"/>
    <w:rsid w:val="003C47CA"/>
    <w:rsid w:val="003D4BE8"/>
    <w:rsid w:val="003D6DE1"/>
    <w:rsid w:val="003D795C"/>
    <w:rsid w:val="003E30FB"/>
    <w:rsid w:val="003F2711"/>
    <w:rsid w:val="003F6C70"/>
    <w:rsid w:val="003F7CB9"/>
    <w:rsid w:val="00403333"/>
    <w:rsid w:val="00411735"/>
    <w:rsid w:val="00415C74"/>
    <w:rsid w:val="0043654D"/>
    <w:rsid w:val="00441031"/>
    <w:rsid w:val="00451840"/>
    <w:rsid w:val="00460C43"/>
    <w:rsid w:val="00460C9A"/>
    <w:rsid w:val="00464924"/>
    <w:rsid w:val="0047581D"/>
    <w:rsid w:val="00480289"/>
    <w:rsid w:val="00481279"/>
    <w:rsid w:val="00483368"/>
    <w:rsid w:val="00494011"/>
    <w:rsid w:val="004A0BF4"/>
    <w:rsid w:val="004A263B"/>
    <w:rsid w:val="004B68AE"/>
    <w:rsid w:val="004C35B0"/>
    <w:rsid w:val="004C49EF"/>
    <w:rsid w:val="004C4A19"/>
    <w:rsid w:val="004C5570"/>
    <w:rsid w:val="004D00C9"/>
    <w:rsid w:val="004D1717"/>
    <w:rsid w:val="004E16F5"/>
    <w:rsid w:val="004E3CC7"/>
    <w:rsid w:val="004E5B69"/>
    <w:rsid w:val="004F2A87"/>
    <w:rsid w:val="005004C0"/>
    <w:rsid w:val="00507C56"/>
    <w:rsid w:val="00510712"/>
    <w:rsid w:val="0052344E"/>
    <w:rsid w:val="00526478"/>
    <w:rsid w:val="005279D7"/>
    <w:rsid w:val="00530204"/>
    <w:rsid w:val="00534C5F"/>
    <w:rsid w:val="00540257"/>
    <w:rsid w:val="0054192F"/>
    <w:rsid w:val="00544EB3"/>
    <w:rsid w:val="0054594B"/>
    <w:rsid w:val="0054749B"/>
    <w:rsid w:val="00551CC6"/>
    <w:rsid w:val="00560541"/>
    <w:rsid w:val="005672D0"/>
    <w:rsid w:val="00572CEB"/>
    <w:rsid w:val="00580FF9"/>
    <w:rsid w:val="005834C9"/>
    <w:rsid w:val="005A58BA"/>
    <w:rsid w:val="005A5D30"/>
    <w:rsid w:val="005A6AB9"/>
    <w:rsid w:val="005C333E"/>
    <w:rsid w:val="005C3AE7"/>
    <w:rsid w:val="005D0677"/>
    <w:rsid w:val="005E294C"/>
    <w:rsid w:val="005E2CE3"/>
    <w:rsid w:val="005F3F07"/>
    <w:rsid w:val="00603D04"/>
    <w:rsid w:val="00606857"/>
    <w:rsid w:val="0061235D"/>
    <w:rsid w:val="00615F42"/>
    <w:rsid w:val="006258C2"/>
    <w:rsid w:val="00625CBA"/>
    <w:rsid w:val="00626365"/>
    <w:rsid w:val="00630E22"/>
    <w:rsid w:val="0064168C"/>
    <w:rsid w:val="00657B46"/>
    <w:rsid w:val="006764EC"/>
    <w:rsid w:val="006835FE"/>
    <w:rsid w:val="0068742D"/>
    <w:rsid w:val="00693BFD"/>
    <w:rsid w:val="00695065"/>
    <w:rsid w:val="006A1038"/>
    <w:rsid w:val="006A649A"/>
    <w:rsid w:val="006B1B49"/>
    <w:rsid w:val="006B6390"/>
    <w:rsid w:val="006C0356"/>
    <w:rsid w:val="006C0843"/>
    <w:rsid w:val="006C74B1"/>
    <w:rsid w:val="006D7935"/>
    <w:rsid w:val="006E57AA"/>
    <w:rsid w:val="006F20CF"/>
    <w:rsid w:val="006F38ED"/>
    <w:rsid w:val="006F63CF"/>
    <w:rsid w:val="00707D4D"/>
    <w:rsid w:val="00723503"/>
    <w:rsid w:val="00725B32"/>
    <w:rsid w:val="00730C04"/>
    <w:rsid w:val="0073597B"/>
    <w:rsid w:val="007378F6"/>
    <w:rsid w:val="0074545D"/>
    <w:rsid w:val="007522E3"/>
    <w:rsid w:val="0075335B"/>
    <w:rsid w:val="00753C44"/>
    <w:rsid w:val="00754383"/>
    <w:rsid w:val="007564D1"/>
    <w:rsid w:val="00757232"/>
    <w:rsid w:val="00760679"/>
    <w:rsid w:val="00763628"/>
    <w:rsid w:val="00767E99"/>
    <w:rsid w:val="00772E62"/>
    <w:rsid w:val="0077789B"/>
    <w:rsid w:val="00780D29"/>
    <w:rsid w:val="00791C8D"/>
    <w:rsid w:val="00794181"/>
    <w:rsid w:val="007A7F6F"/>
    <w:rsid w:val="007B4C76"/>
    <w:rsid w:val="007C2260"/>
    <w:rsid w:val="007D1E52"/>
    <w:rsid w:val="007D2358"/>
    <w:rsid w:val="007E39E4"/>
    <w:rsid w:val="007E6FB3"/>
    <w:rsid w:val="007F21B4"/>
    <w:rsid w:val="00802553"/>
    <w:rsid w:val="00803EAB"/>
    <w:rsid w:val="008046B5"/>
    <w:rsid w:val="008127C0"/>
    <w:rsid w:val="00812EDD"/>
    <w:rsid w:val="008139C5"/>
    <w:rsid w:val="0081650F"/>
    <w:rsid w:val="00832B31"/>
    <w:rsid w:val="008403E0"/>
    <w:rsid w:val="0084508F"/>
    <w:rsid w:val="0084657B"/>
    <w:rsid w:val="00854E86"/>
    <w:rsid w:val="00855944"/>
    <w:rsid w:val="00864A18"/>
    <w:rsid w:val="00870833"/>
    <w:rsid w:val="00874571"/>
    <w:rsid w:val="00881F93"/>
    <w:rsid w:val="00882CB5"/>
    <w:rsid w:val="00883641"/>
    <w:rsid w:val="00884E69"/>
    <w:rsid w:val="00890082"/>
    <w:rsid w:val="008A05C0"/>
    <w:rsid w:val="008A48D2"/>
    <w:rsid w:val="008B2610"/>
    <w:rsid w:val="008B471D"/>
    <w:rsid w:val="008B49E4"/>
    <w:rsid w:val="008B729C"/>
    <w:rsid w:val="008C455D"/>
    <w:rsid w:val="008C4A93"/>
    <w:rsid w:val="008C57EC"/>
    <w:rsid w:val="008E0C46"/>
    <w:rsid w:val="008E0E49"/>
    <w:rsid w:val="008E35FD"/>
    <w:rsid w:val="008E6227"/>
    <w:rsid w:val="008E78B9"/>
    <w:rsid w:val="0090543D"/>
    <w:rsid w:val="009056C5"/>
    <w:rsid w:val="009262F2"/>
    <w:rsid w:val="00937791"/>
    <w:rsid w:val="00951933"/>
    <w:rsid w:val="00954343"/>
    <w:rsid w:val="00955271"/>
    <w:rsid w:val="00961654"/>
    <w:rsid w:val="00963C9C"/>
    <w:rsid w:val="00965B6B"/>
    <w:rsid w:val="00971A8A"/>
    <w:rsid w:val="00971EDB"/>
    <w:rsid w:val="00974D50"/>
    <w:rsid w:val="00985E1D"/>
    <w:rsid w:val="00987ABE"/>
    <w:rsid w:val="00991EE4"/>
    <w:rsid w:val="00991F81"/>
    <w:rsid w:val="009939DC"/>
    <w:rsid w:val="00993B9C"/>
    <w:rsid w:val="009A3967"/>
    <w:rsid w:val="009B4E1E"/>
    <w:rsid w:val="009C03FB"/>
    <w:rsid w:val="009C4B4F"/>
    <w:rsid w:val="009F0C02"/>
    <w:rsid w:val="009F5758"/>
    <w:rsid w:val="009F69E1"/>
    <w:rsid w:val="00A0283F"/>
    <w:rsid w:val="00A04F4A"/>
    <w:rsid w:val="00A26343"/>
    <w:rsid w:val="00A36D74"/>
    <w:rsid w:val="00A408B5"/>
    <w:rsid w:val="00A4223A"/>
    <w:rsid w:val="00A529E2"/>
    <w:rsid w:val="00A539F8"/>
    <w:rsid w:val="00A6491A"/>
    <w:rsid w:val="00A6594E"/>
    <w:rsid w:val="00A727B6"/>
    <w:rsid w:val="00A81CC6"/>
    <w:rsid w:val="00A83EC6"/>
    <w:rsid w:val="00A8732C"/>
    <w:rsid w:val="00A9062D"/>
    <w:rsid w:val="00A93F58"/>
    <w:rsid w:val="00A9524B"/>
    <w:rsid w:val="00A96329"/>
    <w:rsid w:val="00AA134B"/>
    <w:rsid w:val="00AA2CFE"/>
    <w:rsid w:val="00AA5FDA"/>
    <w:rsid w:val="00AA6291"/>
    <w:rsid w:val="00AC0C91"/>
    <w:rsid w:val="00AC266B"/>
    <w:rsid w:val="00AD37D4"/>
    <w:rsid w:val="00AD7986"/>
    <w:rsid w:val="00AE1188"/>
    <w:rsid w:val="00AE738C"/>
    <w:rsid w:val="00AF1046"/>
    <w:rsid w:val="00AF4466"/>
    <w:rsid w:val="00AF5D1E"/>
    <w:rsid w:val="00B01CB9"/>
    <w:rsid w:val="00B040A9"/>
    <w:rsid w:val="00B1711E"/>
    <w:rsid w:val="00B17CBE"/>
    <w:rsid w:val="00B17E26"/>
    <w:rsid w:val="00B208FB"/>
    <w:rsid w:val="00B231A4"/>
    <w:rsid w:val="00B25D20"/>
    <w:rsid w:val="00B3151F"/>
    <w:rsid w:val="00B31C99"/>
    <w:rsid w:val="00B501D0"/>
    <w:rsid w:val="00B53BA6"/>
    <w:rsid w:val="00B5731D"/>
    <w:rsid w:val="00B6378B"/>
    <w:rsid w:val="00B63E3A"/>
    <w:rsid w:val="00B6580C"/>
    <w:rsid w:val="00B722A3"/>
    <w:rsid w:val="00B75965"/>
    <w:rsid w:val="00B771AD"/>
    <w:rsid w:val="00B8025B"/>
    <w:rsid w:val="00B814CB"/>
    <w:rsid w:val="00BA0CF8"/>
    <w:rsid w:val="00BA1ADF"/>
    <w:rsid w:val="00BA51FC"/>
    <w:rsid w:val="00BB003A"/>
    <w:rsid w:val="00BB3358"/>
    <w:rsid w:val="00BB3382"/>
    <w:rsid w:val="00BB3643"/>
    <w:rsid w:val="00BB5D8D"/>
    <w:rsid w:val="00BC3DA0"/>
    <w:rsid w:val="00BC424B"/>
    <w:rsid w:val="00BC77D5"/>
    <w:rsid w:val="00BE0FDE"/>
    <w:rsid w:val="00BF6AC5"/>
    <w:rsid w:val="00C01121"/>
    <w:rsid w:val="00C030A5"/>
    <w:rsid w:val="00C05A45"/>
    <w:rsid w:val="00C0796F"/>
    <w:rsid w:val="00C11B34"/>
    <w:rsid w:val="00C12808"/>
    <w:rsid w:val="00C12C5C"/>
    <w:rsid w:val="00C171FB"/>
    <w:rsid w:val="00C209C2"/>
    <w:rsid w:val="00C2267F"/>
    <w:rsid w:val="00C22AD8"/>
    <w:rsid w:val="00C3557E"/>
    <w:rsid w:val="00C3594B"/>
    <w:rsid w:val="00C3628A"/>
    <w:rsid w:val="00C43102"/>
    <w:rsid w:val="00C4696B"/>
    <w:rsid w:val="00C50513"/>
    <w:rsid w:val="00C520DD"/>
    <w:rsid w:val="00C54503"/>
    <w:rsid w:val="00C63055"/>
    <w:rsid w:val="00C73B62"/>
    <w:rsid w:val="00C776B1"/>
    <w:rsid w:val="00C815FE"/>
    <w:rsid w:val="00C847AE"/>
    <w:rsid w:val="00CA04C6"/>
    <w:rsid w:val="00CA26DD"/>
    <w:rsid w:val="00CA553B"/>
    <w:rsid w:val="00CB12EC"/>
    <w:rsid w:val="00CC09D7"/>
    <w:rsid w:val="00CC12B8"/>
    <w:rsid w:val="00CC606A"/>
    <w:rsid w:val="00CC674A"/>
    <w:rsid w:val="00CD22E3"/>
    <w:rsid w:val="00CD4E44"/>
    <w:rsid w:val="00CD5AE4"/>
    <w:rsid w:val="00CD7A7D"/>
    <w:rsid w:val="00CF2D8E"/>
    <w:rsid w:val="00CF2DFA"/>
    <w:rsid w:val="00CF5AD8"/>
    <w:rsid w:val="00D00122"/>
    <w:rsid w:val="00D01D2A"/>
    <w:rsid w:val="00D0646E"/>
    <w:rsid w:val="00D10B47"/>
    <w:rsid w:val="00D11EB1"/>
    <w:rsid w:val="00D17F17"/>
    <w:rsid w:val="00D23597"/>
    <w:rsid w:val="00D30BDC"/>
    <w:rsid w:val="00D520AC"/>
    <w:rsid w:val="00D5496F"/>
    <w:rsid w:val="00D57F88"/>
    <w:rsid w:val="00D7105C"/>
    <w:rsid w:val="00D713F8"/>
    <w:rsid w:val="00D73646"/>
    <w:rsid w:val="00D777B4"/>
    <w:rsid w:val="00D77A90"/>
    <w:rsid w:val="00D8360B"/>
    <w:rsid w:val="00D85676"/>
    <w:rsid w:val="00D96ADA"/>
    <w:rsid w:val="00DA2886"/>
    <w:rsid w:val="00DA5E50"/>
    <w:rsid w:val="00DA7D0C"/>
    <w:rsid w:val="00DB05BF"/>
    <w:rsid w:val="00DB311C"/>
    <w:rsid w:val="00DB432D"/>
    <w:rsid w:val="00DB519B"/>
    <w:rsid w:val="00DC7694"/>
    <w:rsid w:val="00DC7FBE"/>
    <w:rsid w:val="00DD130E"/>
    <w:rsid w:val="00DD308E"/>
    <w:rsid w:val="00DD4A3B"/>
    <w:rsid w:val="00DF0C51"/>
    <w:rsid w:val="00DF0D47"/>
    <w:rsid w:val="00DF1652"/>
    <w:rsid w:val="00DF6D37"/>
    <w:rsid w:val="00E048ED"/>
    <w:rsid w:val="00E04FB3"/>
    <w:rsid w:val="00E058F2"/>
    <w:rsid w:val="00E05D9C"/>
    <w:rsid w:val="00E06102"/>
    <w:rsid w:val="00E23E71"/>
    <w:rsid w:val="00E30F19"/>
    <w:rsid w:val="00E3170B"/>
    <w:rsid w:val="00E33C4A"/>
    <w:rsid w:val="00E357B9"/>
    <w:rsid w:val="00E4321E"/>
    <w:rsid w:val="00E44B80"/>
    <w:rsid w:val="00E47623"/>
    <w:rsid w:val="00E573C2"/>
    <w:rsid w:val="00E60529"/>
    <w:rsid w:val="00E70D86"/>
    <w:rsid w:val="00E7628E"/>
    <w:rsid w:val="00E82F54"/>
    <w:rsid w:val="00E8649B"/>
    <w:rsid w:val="00E871CD"/>
    <w:rsid w:val="00E90990"/>
    <w:rsid w:val="00E935AB"/>
    <w:rsid w:val="00E95D3D"/>
    <w:rsid w:val="00EA0E25"/>
    <w:rsid w:val="00EA173C"/>
    <w:rsid w:val="00EC127A"/>
    <w:rsid w:val="00EC1FF9"/>
    <w:rsid w:val="00EC2737"/>
    <w:rsid w:val="00ED0B76"/>
    <w:rsid w:val="00EE2716"/>
    <w:rsid w:val="00EE6450"/>
    <w:rsid w:val="00F01C2C"/>
    <w:rsid w:val="00F02771"/>
    <w:rsid w:val="00F03AF6"/>
    <w:rsid w:val="00F10ED8"/>
    <w:rsid w:val="00F222BE"/>
    <w:rsid w:val="00F24179"/>
    <w:rsid w:val="00F301F1"/>
    <w:rsid w:val="00F30C22"/>
    <w:rsid w:val="00F33F1A"/>
    <w:rsid w:val="00F547F7"/>
    <w:rsid w:val="00F54CCF"/>
    <w:rsid w:val="00F61D7A"/>
    <w:rsid w:val="00F637B3"/>
    <w:rsid w:val="00F66CF7"/>
    <w:rsid w:val="00F67BCB"/>
    <w:rsid w:val="00F71380"/>
    <w:rsid w:val="00F737A6"/>
    <w:rsid w:val="00F77C57"/>
    <w:rsid w:val="00F813C7"/>
    <w:rsid w:val="00F83566"/>
    <w:rsid w:val="00F83A9D"/>
    <w:rsid w:val="00F85A6F"/>
    <w:rsid w:val="00F906B5"/>
    <w:rsid w:val="00F93784"/>
    <w:rsid w:val="00F971CC"/>
    <w:rsid w:val="00FA0B55"/>
    <w:rsid w:val="00FA2CAA"/>
    <w:rsid w:val="00FA3DA1"/>
    <w:rsid w:val="00FA6554"/>
    <w:rsid w:val="00FE16C1"/>
    <w:rsid w:val="00FE19FF"/>
    <w:rsid w:val="00FE33A6"/>
    <w:rsid w:val="00FE5452"/>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EFF0D7"/>
  <w15:docId w15:val="{8B89CEFF-91E9-4632-8A4E-56EFC308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table" w:customStyle="1" w:styleId="TableGrid2">
    <w:name w:val="Table Grid2"/>
    <w:basedOn w:val="TableNormal"/>
    <w:next w:val="TableGrid"/>
    <w:uiPriority w:val="59"/>
    <w:rsid w:val="00687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01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85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1359699292">
      <w:bodyDiv w:val="1"/>
      <w:marLeft w:val="0"/>
      <w:marRight w:val="0"/>
      <w:marTop w:val="0"/>
      <w:marBottom w:val="0"/>
      <w:divBdr>
        <w:top w:val="none" w:sz="0" w:space="0" w:color="auto"/>
        <w:left w:val="none" w:sz="0" w:space="0" w:color="auto"/>
        <w:bottom w:val="none" w:sz="0" w:space="0" w:color="auto"/>
        <w:right w:val="none" w:sz="0" w:space="0" w:color="auto"/>
      </w:divBdr>
      <w:divsChild>
        <w:div w:id="15428544">
          <w:marLeft w:val="0"/>
          <w:marRight w:val="0"/>
          <w:marTop w:val="0"/>
          <w:marBottom w:val="0"/>
          <w:divBdr>
            <w:top w:val="none" w:sz="0" w:space="0" w:color="auto"/>
            <w:left w:val="none" w:sz="0" w:space="0" w:color="auto"/>
            <w:bottom w:val="none" w:sz="0" w:space="0" w:color="auto"/>
            <w:right w:val="none" w:sz="0" w:space="0" w:color="auto"/>
          </w:divBdr>
        </w:div>
      </w:divsChild>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cbi.nlm.nih.gov/pubmed/15939805" TargetMode="External"/><Relationship Id="rId18" Type="http://schemas.openxmlformats.org/officeDocument/2006/relationships/hyperlink" Target="https://www.ncbi.nlm.nih.gov/pubmed/17420350" TargetMode="External"/><Relationship Id="rId26" Type="http://schemas.openxmlformats.org/officeDocument/2006/relationships/hyperlink" Target="https://guidelines.hypertension.ca/" TargetMode="External"/><Relationship Id="rId3" Type="http://schemas.openxmlformats.org/officeDocument/2006/relationships/styles" Target="styles.xml"/><Relationship Id="rId21" Type="http://schemas.openxmlformats.org/officeDocument/2006/relationships/hyperlink" Target="https://www.ncbi.nlm.nih.gov/pubmed/20385970" TargetMode="Externa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ncbi.nlm.nih.gov/pubmed/16702819" TargetMode="External"/><Relationship Id="rId17" Type="http://schemas.openxmlformats.org/officeDocument/2006/relationships/hyperlink" Target="https://www.ncbi.nlm.nih.gov/pubmed/16804152" TargetMode="External"/><Relationship Id="rId25" Type="http://schemas.openxmlformats.org/officeDocument/2006/relationships/hyperlink" Target="https://www.ncbi.nlm.nih.gov/pubmed/21705406" TargetMode="External"/><Relationship Id="rId33"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ncbi.nlm.nih.gov/pubmed/17620947" TargetMode="External"/><Relationship Id="rId20" Type="http://schemas.openxmlformats.org/officeDocument/2006/relationships/hyperlink" Target="https://www.ncbi.nlm.nih.gov/pubmed/15026401" TargetMode="External"/><Relationship Id="rId29" Type="http://schemas.openxmlformats.org/officeDocument/2006/relationships/hyperlink" Target="https://www.ncbi.nlm.nih.gov/pubmed/120649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15311096" TargetMode="External"/><Relationship Id="rId24" Type="http://schemas.openxmlformats.org/officeDocument/2006/relationships/hyperlink" Target="https://www.ncbi.nlm.nih.gov/pubmed/15809377" TargetMode="External"/><Relationship Id="rId32" Type="http://schemas.openxmlformats.org/officeDocument/2006/relationships/hyperlink" Target="https://www.ncbi.nlm.nih.gov/pmc/articles/PMC3377518/" TargetMode="External"/><Relationship Id="rId5" Type="http://schemas.openxmlformats.org/officeDocument/2006/relationships/webSettings" Target="webSettings.xml"/><Relationship Id="rId15" Type="http://schemas.openxmlformats.org/officeDocument/2006/relationships/hyperlink" Target="https://www.ncbi.nlm.nih.gov/pubmed/15753229" TargetMode="External"/><Relationship Id="rId23" Type="http://schemas.openxmlformats.org/officeDocument/2006/relationships/hyperlink" Target="https://www.ncbi.nlm.nih.gov/pubmed/15959536" TargetMode="External"/><Relationship Id="rId28" Type="http://schemas.openxmlformats.org/officeDocument/2006/relationships/hyperlink" Target="http://pathways.nice.org.uk/pathways/hypertension" TargetMode="External"/><Relationship Id="rId36" Type="http://schemas.openxmlformats.org/officeDocument/2006/relationships/theme" Target="theme/theme1.xml"/><Relationship Id="rId10" Type="http://schemas.openxmlformats.org/officeDocument/2006/relationships/hyperlink" Target="https://www.ncbi.nlm.nih.gov/pubmed/29669232" TargetMode="External"/><Relationship Id="rId19" Type="http://schemas.openxmlformats.org/officeDocument/2006/relationships/hyperlink" Target="https://www.ncbi.nlm.nih.gov/pubmed/20616705" TargetMode="External"/><Relationship Id="rId31" Type="http://schemas.openxmlformats.org/officeDocument/2006/relationships/hyperlink" Target="https://www.ncbi.nlm.nih.gov/pubmed/2393726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cbi.nlm.nih.gov/pubmed/18756173" TargetMode="External"/><Relationship Id="rId22" Type="http://schemas.openxmlformats.org/officeDocument/2006/relationships/hyperlink" Target="https://www.ncbi.nlm.nih.gov/pubmed/17620954" TargetMode="External"/><Relationship Id="rId27" Type="http://schemas.openxmlformats.org/officeDocument/2006/relationships/hyperlink" Target="https://www.mja.com.au/journal/2016/205/2/guideline-diagnosis-and-management-hypertension-adults-2016" TargetMode="External"/><Relationship Id="rId30" Type="http://schemas.openxmlformats.org/officeDocument/2006/relationships/hyperlink" Target="https://www.ncbi.nlm.nih.gov/pubmed/28159431"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B19E9-2928-4C56-AB23-F7FF6FE4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29</Pages>
  <Words>7803</Words>
  <Characters>44481</Characters>
  <DocSecurity>0</DocSecurity>
  <Lines>370</Lines>
  <Paragraphs>104</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LinksUpToDate>false</LinksUpToDate>
  <CharactersWithSpaces>52180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2016-07-12T05:04:00Z</cp:lastPrinted>
  <dcterms:created xsi:type="dcterms:W3CDTF">2019-01-21T02:13:00Z</dcterms:created>
  <dcterms:modified xsi:type="dcterms:W3CDTF">2019-01-23T00:21:00Z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