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D156A" w14:textId="77777777" w:rsidR="00E44B80" w:rsidRPr="00F637B3" w:rsidRDefault="00E44B80" w:rsidP="00E44B80">
      <w:pPr>
        <w:jc w:val="center"/>
        <w:rPr>
          <w:b/>
          <w:szCs w:val="20"/>
        </w:rPr>
      </w:pPr>
      <w:r w:rsidRPr="00F637B3">
        <w:rPr>
          <w:b/>
          <w:noProof/>
          <w:szCs w:val="20"/>
          <w:lang w:eastAsia="en-AU"/>
        </w:rPr>
        <w:drawing>
          <wp:inline distT="0" distB="0" distL="0" distR="0" wp14:anchorId="41A45AE9" wp14:editId="5940616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D8B5508" w14:textId="77777777" w:rsidR="008B2610" w:rsidRPr="006F20CF" w:rsidRDefault="008B2610" w:rsidP="00F971CC">
      <w:pPr>
        <w:pStyle w:val="Title"/>
        <w:spacing w:before="2600"/>
      </w:pPr>
      <w:r w:rsidRPr="001906CD">
        <w:t>Application Form</w:t>
      </w:r>
    </w:p>
    <w:p w14:paraId="0549DF5D"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7E0AA2E3"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7917CFD4" w14:textId="77777777" w:rsidR="00EB0182" w:rsidRDefault="00EB0182" w:rsidP="003F7CB9">
      <w:pPr>
        <w:rPr>
          <w:rFonts w:ascii="Arial" w:hAnsi="Arial" w:cs="Arial"/>
          <w:b/>
          <w:sz w:val="52"/>
          <w:szCs w:val="52"/>
        </w:rPr>
      </w:pPr>
    </w:p>
    <w:p w14:paraId="218CF17A" w14:textId="77777777" w:rsidR="00EB0182" w:rsidRDefault="00EB0182" w:rsidP="003F7CB9">
      <w:pPr>
        <w:rPr>
          <w:rFonts w:ascii="Arial" w:hAnsi="Arial" w:cs="Arial"/>
          <w:b/>
          <w:sz w:val="52"/>
          <w:szCs w:val="52"/>
        </w:rPr>
      </w:pPr>
    </w:p>
    <w:p w14:paraId="371899B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5CE6E8E"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1B740C57"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4E0A1569"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73E432A3" w14:textId="77777777" w:rsidR="008B2610" w:rsidRPr="00154B00" w:rsidRDefault="009F5758" w:rsidP="003F7CB9">
      <w:pPr>
        <w:spacing w:before="0" w:after="0"/>
      </w:pPr>
      <w:r w:rsidRPr="00154B00">
        <w:t>Phone:  +61 2 6289 7550</w:t>
      </w:r>
    </w:p>
    <w:p w14:paraId="14777AB9" w14:textId="77777777" w:rsidR="009F5758" w:rsidRPr="00154B00" w:rsidRDefault="009F5758" w:rsidP="003F7CB9">
      <w:pPr>
        <w:spacing w:before="0" w:after="0"/>
      </w:pPr>
      <w:r w:rsidRPr="00154B00">
        <w:t>Fax:  +61 2 6289 5540</w:t>
      </w:r>
    </w:p>
    <w:p w14:paraId="46ABC713"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470102C3"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CD3CB09" w14:textId="77777777" w:rsidR="001D77ED" w:rsidRPr="003F7CB9" w:rsidRDefault="00D73646" w:rsidP="006751A9">
      <w:bookmarkStart w:id="0" w:name="_Toc443555803"/>
      <w:r>
        <w:rPr>
          <w:rStyle w:val="IntenseReference"/>
        </w:rPr>
        <w:br w:type="page"/>
      </w:r>
      <w:bookmarkEnd w:id="0"/>
    </w:p>
    <w:p w14:paraId="3420C3BB" w14:textId="77777777" w:rsidR="00E04FB3" w:rsidRPr="00C776B1" w:rsidRDefault="00494011" w:rsidP="00A8732C">
      <w:pPr>
        <w:pStyle w:val="Heading1"/>
      </w:pPr>
      <w:r>
        <w:lastRenderedPageBreak/>
        <w:t>PART 1</w:t>
      </w:r>
      <w:r w:rsidR="00F93784">
        <w:t xml:space="preserve"> – </w:t>
      </w:r>
      <w:r w:rsidR="00E04FB3" w:rsidRPr="00C776B1">
        <w:t>APPLICANT DETAILS</w:t>
      </w:r>
    </w:p>
    <w:p w14:paraId="68019DE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113468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CC4B8F">
        <w:t>N/A</w:t>
      </w:r>
    </w:p>
    <w:p w14:paraId="7B85E8A2" w14:textId="3117143A"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52A6A">
        <w:t>AstraZeneca Pty Limited</w:t>
      </w:r>
    </w:p>
    <w:p w14:paraId="5B3A7A26" w14:textId="5C1BC7BC"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052A6A" w:rsidRPr="00052A6A">
        <w:rPr>
          <w:b/>
        </w:rPr>
        <w:t>redacted</w:t>
      </w:r>
    </w:p>
    <w:p w14:paraId="6D6CE1D6" w14:textId="4F8BB090"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052A6A">
        <w:t>:</w:t>
      </w:r>
      <w:r w:rsidR="00052A6A" w:rsidRPr="00052A6A">
        <w:rPr>
          <w:b/>
        </w:rPr>
        <w:t xml:space="preserve"> redacted</w:t>
      </w:r>
    </w:p>
    <w:p w14:paraId="0520CD60" w14:textId="77777777" w:rsidR="00C171FB" w:rsidRPr="00C171FB" w:rsidRDefault="00C171FB" w:rsidP="00C171FB"/>
    <w:p w14:paraId="56738E73" w14:textId="7BDB896D" w:rsidR="00C171FB" w:rsidRPr="00C171FB" w:rsidRDefault="00C171FB" w:rsidP="00C171FB">
      <w:pPr>
        <w:rPr>
          <w:b/>
        </w:rPr>
      </w:pPr>
      <w:r>
        <w:rPr>
          <w:b/>
        </w:rPr>
        <w:t xml:space="preserve">Primary contact name: </w:t>
      </w:r>
      <w:r w:rsidR="00052A6A" w:rsidRPr="00052A6A">
        <w:rPr>
          <w:b/>
        </w:rPr>
        <w:t>redacted</w:t>
      </w:r>
    </w:p>
    <w:p w14:paraId="2A2CC2EC"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23E95DA" w14:textId="5A70969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52A6A" w:rsidRPr="00052A6A">
        <w:rPr>
          <w:b/>
        </w:rPr>
        <w:t>redacted</w:t>
      </w:r>
    </w:p>
    <w:p w14:paraId="2ECA8DC5" w14:textId="77777777" w:rsidR="00052A6A" w:rsidRDefault="00C171FB" w:rsidP="00C171FB">
      <w:pPr>
        <w:pBdr>
          <w:top w:val="single" w:sz="4" w:space="1" w:color="auto"/>
          <w:left w:val="single" w:sz="4" w:space="4" w:color="auto"/>
          <w:bottom w:val="single" w:sz="4" w:space="1" w:color="auto"/>
          <w:right w:val="single" w:sz="4" w:space="4" w:color="auto"/>
        </w:pBdr>
      </w:pPr>
      <w:r>
        <w:t>Mobile:</w:t>
      </w:r>
      <w:r>
        <w:tab/>
      </w:r>
      <w:r w:rsidR="00052A6A" w:rsidRPr="00052A6A">
        <w:rPr>
          <w:b/>
        </w:rPr>
        <w:t>redacted</w:t>
      </w:r>
      <w:r w:rsidR="00052A6A">
        <w:t xml:space="preserve"> </w:t>
      </w:r>
    </w:p>
    <w:p w14:paraId="6C0F74BE" w14:textId="714C30A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52A6A" w:rsidRPr="00052A6A">
        <w:rPr>
          <w:b/>
        </w:rPr>
        <w:t>redacted</w:t>
      </w:r>
    </w:p>
    <w:p w14:paraId="27FEA073" w14:textId="77777777" w:rsidR="00C171FB" w:rsidRDefault="00C171FB" w:rsidP="00C171FB">
      <w:pPr>
        <w:rPr>
          <w:b/>
        </w:rPr>
      </w:pPr>
    </w:p>
    <w:p w14:paraId="6E5E2654" w14:textId="21CAD342" w:rsidR="00C171FB" w:rsidRPr="00C171FB" w:rsidRDefault="00C171FB" w:rsidP="00C171FB">
      <w:pPr>
        <w:rPr>
          <w:b/>
        </w:rPr>
      </w:pPr>
      <w:r>
        <w:rPr>
          <w:b/>
        </w:rPr>
        <w:t xml:space="preserve">Alternative contact name: </w:t>
      </w:r>
      <w:r w:rsidR="00052A6A" w:rsidRPr="00052A6A">
        <w:rPr>
          <w:b/>
        </w:rPr>
        <w:t>redacted</w:t>
      </w:r>
    </w:p>
    <w:p w14:paraId="2CF15A74"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227EA62" w14:textId="052A5B9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52A6A" w:rsidRPr="00052A6A">
        <w:rPr>
          <w:b/>
        </w:rPr>
        <w:t>redacted</w:t>
      </w:r>
    </w:p>
    <w:p w14:paraId="10578E11" w14:textId="0C6DA545"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052A6A" w:rsidRPr="00052A6A">
        <w:rPr>
          <w:b/>
        </w:rPr>
        <w:t>redacted</w:t>
      </w:r>
    </w:p>
    <w:p w14:paraId="09F1DB33" w14:textId="3005FC9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52A6A" w:rsidRPr="00052A6A">
        <w:rPr>
          <w:b/>
        </w:rPr>
        <w:t>redacted</w:t>
      </w:r>
    </w:p>
    <w:p w14:paraId="1E72EFC6" w14:textId="77777777" w:rsidR="00C171FB" w:rsidRDefault="00C171FB" w:rsidP="00C171FB"/>
    <w:p w14:paraId="3A6533E8" w14:textId="77777777" w:rsidR="00F34AEC" w:rsidRPr="00154B00" w:rsidRDefault="00F34AEC" w:rsidP="00F34AEC">
      <w:pPr>
        <w:pStyle w:val="Heading2"/>
      </w:pPr>
      <w:r>
        <w:t>(a) Are you a consultant acting on behalf of an Applicant?</w:t>
      </w:r>
    </w:p>
    <w:p w14:paraId="57850EDE"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Yes</w:t>
      </w:r>
    </w:p>
    <w:p w14:paraId="26982E58" w14:textId="77777777" w:rsidR="00F34AEC" w:rsidRPr="00753C44" w:rsidRDefault="005D4F56" w:rsidP="00F34AEC">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1F14C5">
        <w:rPr>
          <w:szCs w:val="20"/>
        </w:rPr>
      </w:r>
      <w:r w:rsidR="001F14C5">
        <w:rPr>
          <w:szCs w:val="20"/>
        </w:rPr>
        <w:fldChar w:fldCharType="separate"/>
      </w:r>
      <w:r>
        <w:rPr>
          <w:szCs w:val="20"/>
        </w:rPr>
        <w:fldChar w:fldCharType="end"/>
      </w:r>
      <w:bookmarkEnd w:id="1"/>
      <w:r w:rsidR="00F34AEC">
        <w:rPr>
          <w:szCs w:val="20"/>
        </w:rPr>
        <w:t xml:space="preserve"> No</w:t>
      </w:r>
      <w:r w:rsidR="00352047">
        <w:rPr>
          <w:szCs w:val="20"/>
        </w:rPr>
        <w:t xml:space="preserve"> </w:t>
      </w:r>
    </w:p>
    <w:p w14:paraId="3736BBB0" w14:textId="77777777" w:rsidR="00F34AEC" w:rsidRDefault="00F34AEC" w:rsidP="00C171FB"/>
    <w:p w14:paraId="49CB20FC" w14:textId="77777777" w:rsidR="00F34AEC" w:rsidRPr="002F55EF" w:rsidRDefault="00F34AEC" w:rsidP="002F55EF">
      <w:pPr>
        <w:ind w:firstLine="360"/>
        <w:rPr>
          <w:b/>
        </w:rPr>
      </w:pPr>
      <w:r w:rsidRPr="002F55EF">
        <w:rPr>
          <w:b/>
        </w:rPr>
        <w:t>(b) If yes, what is the Applicant(s) name that you are acting on behalf of?</w:t>
      </w:r>
    </w:p>
    <w:p w14:paraId="10BD396B" w14:textId="77777777" w:rsidR="00F34AEC" w:rsidRPr="00CB12EC" w:rsidRDefault="00F34AEC" w:rsidP="00F34AEC">
      <w:pPr>
        <w:ind w:left="284"/>
        <w:rPr>
          <w:noProof/>
        </w:rPr>
      </w:pPr>
      <w:r>
        <w:rPr>
          <w:noProof/>
        </w:rPr>
        <w:t>Insert relevant Applicant(s) name here.</w:t>
      </w:r>
    </w:p>
    <w:p w14:paraId="4650777E" w14:textId="77777777" w:rsidR="00F34AEC" w:rsidRPr="00C171FB" w:rsidRDefault="00F34AEC" w:rsidP="00C171FB"/>
    <w:p w14:paraId="1804EA67" w14:textId="77777777" w:rsidR="00534C5F" w:rsidRPr="00154B00" w:rsidRDefault="00494011" w:rsidP="004A0BF4">
      <w:pPr>
        <w:pStyle w:val="Heading2"/>
      </w:pPr>
      <w:r>
        <w:t xml:space="preserve">(a) </w:t>
      </w:r>
      <w:r w:rsidR="00534C5F">
        <w:t>Are you a lobbyist acting on behalf of an Applicant?</w:t>
      </w:r>
    </w:p>
    <w:p w14:paraId="0FA12BC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Yes</w:t>
      </w:r>
    </w:p>
    <w:p w14:paraId="3519AAF7" w14:textId="77777777" w:rsidR="00A6491A" w:rsidRPr="00753C44" w:rsidRDefault="005D4F56"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A6491A">
        <w:rPr>
          <w:szCs w:val="20"/>
        </w:rPr>
        <w:t xml:space="preserve"> No</w:t>
      </w:r>
      <w:r w:rsidR="00A6491A" w:rsidRPr="00753C44">
        <w:rPr>
          <w:szCs w:val="20"/>
        </w:rPr>
        <w:t xml:space="preserve">  </w:t>
      </w:r>
    </w:p>
    <w:p w14:paraId="34C0A39E" w14:textId="77777777" w:rsidR="00534C5F" w:rsidRPr="00154B00" w:rsidRDefault="00534C5F" w:rsidP="007F3FCD">
      <w:pPr>
        <w:pStyle w:val="Heading2"/>
        <w:numPr>
          <w:ilvl w:val="0"/>
          <w:numId w:val="2"/>
        </w:numPr>
      </w:pPr>
      <w:r w:rsidRPr="00154B00">
        <w:t xml:space="preserve">If yes, </w:t>
      </w:r>
      <w:r>
        <w:t xml:space="preserve">are </w:t>
      </w:r>
      <w:r w:rsidRPr="00FE33A6">
        <w:t>you</w:t>
      </w:r>
      <w:r>
        <w:t xml:space="preserve"> listed on the Register of Lobbyists?</w:t>
      </w:r>
    </w:p>
    <w:p w14:paraId="5D51AEB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Yes</w:t>
      </w:r>
    </w:p>
    <w:p w14:paraId="21A8F69B"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No</w:t>
      </w:r>
      <w:r w:rsidRPr="00753C44">
        <w:rPr>
          <w:szCs w:val="20"/>
        </w:rPr>
        <w:t xml:space="preserve">  </w:t>
      </w:r>
    </w:p>
    <w:p w14:paraId="6A095466" w14:textId="77777777" w:rsidR="00E04FB3" w:rsidRDefault="00E04FB3" w:rsidP="005C333E">
      <w:pPr>
        <w:spacing w:before="0" w:after="0"/>
        <w:ind w:left="426"/>
        <w:rPr>
          <w:b/>
          <w:szCs w:val="20"/>
        </w:rPr>
      </w:pPr>
      <w:r w:rsidRPr="00154B00">
        <w:rPr>
          <w:b/>
          <w:szCs w:val="20"/>
        </w:rPr>
        <w:br w:type="page"/>
      </w:r>
    </w:p>
    <w:p w14:paraId="02F7C0D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75AD041D" w14:textId="77777777" w:rsidR="000B3CD0" w:rsidRDefault="000B3CD0" w:rsidP="00730C04">
      <w:pPr>
        <w:pStyle w:val="Heading2"/>
      </w:pPr>
      <w:r w:rsidRPr="00154B00">
        <w:t>Application title</w:t>
      </w:r>
      <w:r w:rsidR="00A8732C">
        <w:t xml:space="preserve"> </w:t>
      </w:r>
    </w:p>
    <w:p w14:paraId="0983C5DA" w14:textId="73D34B84" w:rsidR="005D4F56" w:rsidRPr="00457E5E" w:rsidRDefault="00624644" w:rsidP="004F30D9">
      <w:pPr>
        <w:spacing w:before="0" w:after="0"/>
        <w:ind w:left="360"/>
        <w:jc w:val="both"/>
      </w:pPr>
      <w:r w:rsidRPr="00624644">
        <w:rPr>
          <w:bCs/>
          <w:iCs/>
        </w:rPr>
        <w:t>G</w:t>
      </w:r>
      <w:r w:rsidR="005D4F56" w:rsidRPr="00624644">
        <w:rPr>
          <w:bCs/>
          <w:iCs/>
        </w:rPr>
        <w:t>ermline</w:t>
      </w:r>
      <w:r w:rsidR="005D4F56" w:rsidRPr="004E31D8">
        <w:rPr>
          <w:bCs/>
          <w:i/>
          <w:iCs/>
        </w:rPr>
        <w:t xml:space="preserve"> BRCA</w:t>
      </w:r>
      <w:r w:rsidR="005D4F56" w:rsidRPr="00624644">
        <w:rPr>
          <w:bCs/>
          <w:iCs/>
        </w:rPr>
        <w:t xml:space="preserve"> mutation te</w:t>
      </w:r>
      <w:r>
        <w:rPr>
          <w:bCs/>
          <w:iCs/>
        </w:rPr>
        <w:t xml:space="preserve">sting </w:t>
      </w:r>
      <w:r w:rsidR="005D4F56" w:rsidRPr="00624644">
        <w:rPr>
          <w:bCs/>
          <w:iCs/>
        </w:rPr>
        <w:t xml:space="preserve">to determine eligibility for </w:t>
      </w:r>
      <w:proofErr w:type="spellStart"/>
      <w:r w:rsidR="005D4F56" w:rsidRPr="00624644">
        <w:rPr>
          <w:bCs/>
          <w:iCs/>
        </w:rPr>
        <w:t>olaparib</w:t>
      </w:r>
      <w:proofErr w:type="spellEnd"/>
      <w:r w:rsidR="005D4F56" w:rsidRPr="00624644">
        <w:rPr>
          <w:bCs/>
          <w:iCs/>
        </w:rPr>
        <w:t xml:space="preserve"> treatment in </w:t>
      </w:r>
      <w:r w:rsidR="004171AE">
        <w:rPr>
          <w:bCs/>
          <w:iCs/>
        </w:rPr>
        <w:t>patients</w:t>
      </w:r>
      <w:r w:rsidR="005D4F56" w:rsidRPr="00624644">
        <w:rPr>
          <w:bCs/>
          <w:iCs/>
        </w:rPr>
        <w:t xml:space="preserve"> with </w:t>
      </w:r>
      <w:r w:rsidR="005D4F56">
        <w:t xml:space="preserve">locally advanced or metastatic </w:t>
      </w:r>
      <w:r w:rsidR="00885E44">
        <w:t xml:space="preserve">HER2 negative </w:t>
      </w:r>
      <w:r w:rsidR="005D4F56">
        <w:t xml:space="preserve">breast cancer </w:t>
      </w:r>
      <w:r w:rsidR="00885E44">
        <w:t xml:space="preserve">(either </w:t>
      </w:r>
      <w:r w:rsidR="00A07EDD">
        <w:t>hormone</w:t>
      </w:r>
      <w:r w:rsidR="005D4F56">
        <w:t xml:space="preserve"> receptor positive</w:t>
      </w:r>
      <w:r w:rsidR="00A07EDD">
        <w:t xml:space="preserve"> or triple negative</w:t>
      </w:r>
      <w:r w:rsidR="00885E44">
        <w:t>)</w:t>
      </w:r>
      <w:r w:rsidR="00A07EDD">
        <w:t xml:space="preserve">. </w:t>
      </w:r>
      <w:r w:rsidR="005D4F56" w:rsidRPr="00624644">
        <w:rPr>
          <w:bCs/>
          <w:iCs/>
        </w:rPr>
        <w:t xml:space="preserve">It is proposed that only patients who are germline </w:t>
      </w:r>
      <w:r w:rsidR="005D4F56" w:rsidRPr="00B54018">
        <w:rPr>
          <w:bCs/>
          <w:i/>
          <w:iCs/>
        </w:rPr>
        <w:t>BRCA</w:t>
      </w:r>
      <w:r w:rsidR="005D4F56" w:rsidRPr="00624644">
        <w:rPr>
          <w:bCs/>
          <w:iCs/>
        </w:rPr>
        <w:t xml:space="preserve"> mutation positive </w:t>
      </w:r>
      <w:r w:rsidR="004E54FF">
        <w:rPr>
          <w:bCs/>
          <w:iCs/>
        </w:rPr>
        <w:t xml:space="preserve">and have received prior treatment with anthracycline and </w:t>
      </w:r>
      <w:proofErr w:type="spellStart"/>
      <w:r w:rsidR="004E54FF">
        <w:rPr>
          <w:bCs/>
          <w:iCs/>
        </w:rPr>
        <w:t>taxane</w:t>
      </w:r>
      <w:proofErr w:type="spellEnd"/>
      <w:r w:rsidR="004E54FF">
        <w:rPr>
          <w:bCs/>
          <w:iCs/>
        </w:rPr>
        <w:t xml:space="preserve"> and also refractory to hormone therapy </w:t>
      </w:r>
      <w:r w:rsidR="005D4F56" w:rsidRPr="00624644">
        <w:rPr>
          <w:bCs/>
          <w:iCs/>
        </w:rPr>
        <w:t xml:space="preserve">will be eligible for </w:t>
      </w:r>
      <w:proofErr w:type="spellStart"/>
      <w:r w:rsidR="005D4F56" w:rsidRPr="00624644">
        <w:rPr>
          <w:bCs/>
          <w:iCs/>
        </w:rPr>
        <w:t>olaparib</w:t>
      </w:r>
      <w:proofErr w:type="spellEnd"/>
      <w:r w:rsidR="005D4F56" w:rsidRPr="00624644">
        <w:rPr>
          <w:bCs/>
          <w:iCs/>
        </w:rPr>
        <w:t xml:space="preserve"> treatment</w:t>
      </w:r>
      <w:r>
        <w:rPr>
          <w:bCs/>
          <w:iCs/>
        </w:rPr>
        <w:t>.</w:t>
      </w:r>
    </w:p>
    <w:p w14:paraId="1F49E33C" w14:textId="77777777" w:rsidR="009056C5" w:rsidRPr="009056C5" w:rsidRDefault="009056C5" w:rsidP="00624644"/>
    <w:p w14:paraId="709F409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87F0D13" w14:textId="1156CFE8" w:rsidR="00250A78" w:rsidRPr="001F720F" w:rsidRDefault="00EE37BA" w:rsidP="00E33D06">
      <w:pPr>
        <w:ind w:left="360"/>
        <w:jc w:val="both"/>
        <w:rPr>
          <w:color w:val="365F91" w:themeColor="accent1" w:themeShade="BF"/>
        </w:rPr>
      </w:pPr>
      <w:r w:rsidRPr="00495216">
        <w:rPr>
          <w:rFonts w:eastAsia="Times New Roman" w:cs="Arial"/>
          <w:szCs w:val="18"/>
        </w:rPr>
        <w:t>In Australia, b</w:t>
      </w:r>
      <w:r w:rsidRPr="00495216">
        <w:t>reast cancer is the most common cancer affecting women. In 2017, it is estimated that 17,586 women and 144 men will be diagnosed with breast cancer</w:t>
      </w:r>
      <w:r w:rsidRPr="00495216">
        <w:rPr>
          <w:rStyle w:val="FootnoteReference"/>
        </w:rPr>
        <w:footnoteReference w:id="1"/>
      </w:r>
      <w:r w:rsidR="00407BB5" w:rsidRPr="00495216">
        <w:t xml:space="preserve">.  </w:t>
      </w:r>
      <w:r w:rsidR="00E97809">
        <w:t>On average, 48 Australians</w:t>
      </w:r>
      <w:r w:rsidRPr="00495216">
        <w:t xml:space="preserve"> are diagnosed with breast cancer each day. The risk of being diagnosed with breast cancer increases with age, with 78% of new cases of breast cancer developing in women over the age of 50.  A personal history of breast cancer or family history are contributing risk factors with approximately 5 to 10% of breast cancers due to a strong family history or genetic mutation; such as </w:t>
      </w:r>
      <w:r w:rsidR="0081493B">
        <w:t xml:space="preserve">in </w:t>
      </w:r>
      <w:r w:rsidR="001F720F">
        <w:rPr>
          <w:i/>
        </w:rPr>
        <w:t>BRCA</w:t>
      </w:r>
      <w:r w:rsidRPr="001F720F">
        <w:rPr>
          <w:i/>
        </w:rPr>
        <w:t>1</w:t>
      </w:r>
      <w:r w:rsidR="00C5258C">
        <w:t xml:space="preserve"> or </w:t>
      </w:r>
      <w:r w:rsidR="001F720F">
        <w:rPr>
          <w:i/>
        </w:rPr>
        <w:t>BRCA</w:t>
      </w:r>
      <w:r w:rsidRPr="001F720F">
        <w:rPr>
          <w:i/>
        </w:rPr>
        <w:t>2</w:t>
      </w:r>
      <w:r w:rsidR="00C5258C">
        <w:rPr>
          <w:i/>
        </w:rPr>
        <w:t xml:space="preserve"> </w:t>
      </w:r>
      <w:r w:rsidR="00C5258C" w:rsidRPr="00C5258C">
        <w:t>gene</w:t>
      </w:r>
      <w:r w:rsidRPr="00C5258C">
        <w:rPr>
          <w:color w:val="365F91" w:themeColor="accent1" w:themeShade="BF"/>
        </w:rPr>
        <w:t>.</w:t>
      </w:r>
      <w:r w:rsidR="00407BB5">
        <w:rPr>
          <w:color w:val="365F91" w:themeColor="accent1" w:themeShade="BF"/>
        </w:rPr>
        <w:t xml:space="preserve"> </w:t>
      </w:r>
      <w:r w:rsidR="00407BB5" w:rsidRPr="00495216">
        <w:t xml:space="preserve">Women with a </w:t>
      </w:r>
      <w:r w:rsidR="00407BB5" w:rsidRPr="00495216">
        <w:rPr>
          <w:i/>
          <w:iCs/>
        </w:rPr>
        <w:t>BRCA1</w:t>
      </w:r>
      <w:r w:rsidR="00407BB5" w:rsidRPr="00495216">
        <w:t xml:space="preserve"> or</w:t>
      </w:r>
      <w:r w:rsidR="00407BB5" w:rsidRPr="00495216">
        <w:rPr>
          <w:i/>
          <w:iCs/>
        </w:rPr>
        <w:t xml:space="preserve"> BRCA2 </w:t>
      </w:r>
      <w:r w:rsidR="00407BB5" w:rsidRPr="00495216">
        <w:t>mutation are believed to have an intermediate risk of developing breast cancer.</w:t>
      </w:r>
      <w:r w:rsidR="0090621E">
        <w:rPr>
          <w:rStyle w:val="FootnoteReference"/>
        </w:rPr>
        <w:footnoteReference w:id="2"/>
      </w:r>
      <w:r w:rsidR="00407BB5" w:rsidRPr="00495216">
        <w:t xml:space="preserve"> The average cumulative risks of developing breast cancer by 70 years old has been reported as 57</w:t>
      </w:r>
      <w:r w:rsidR="00407BB5" w:rsidRPr="00495216">
        <w:rPr>
          <w:rFonts w:cs="Arial"/>
        </w:rPr>
        <w:t>‒</w:t>
      </w:r>
      <w:r w:rsidR="00407BB5" w:rsidRPr="00495216">
        <w:t xml:space="preserve">65% for </w:t>
      </w:r>
      <w:r w:rsidR="00407BB5" w:rsidRPr="00495216">
        <w:rPr>
          <w:i/>
          <w:iCs/>
        </w:rPr>
        <w:t>BRCA1</w:t>
      </w:r>
      <w:r w:rsidR="00407BB5" w:rsidRPr="00495216">
        <w:t xml:space="preserve"> mutation carriers and 45</w:t>
      </w:r>
      <w:r w:rsidR="00407BB5" w:rsidRPr="00495216">
        <w:rPr>
          <w:rFonts w:cs="Arial"/>
        </w:rPr>
        <w:t>‒</w:t>
      </w:r>
      <w:r w:rsidR="00407BB5" w:rsidRPr="00495216">
        <w:t xml:space="preserve">49% for </w:t>
      </w:r>
      <w:r w:rsidR="00407BB5" w:rsidRPr="00495216">
        <w:rPr>
          <w:i/>
          <w:iCs/>
        </w:rPr>
        <w:t xml:space="preserve">BRCA2 </w:t>
      </w:r>
      <w:r w:rsidR="00407BB5" w:rsidRPr="00495216">
        <w:t>mutation carriers.</w:t>
      </w:r>
      <w:r w:rsidR="000B2908" w:rsidRPr="000B2908">
        <w:rPr>
          <w:rStyle w:val="FootnoteReference"/>
        </w:rPr>
        <w:t xml:space="preserve"> </w:t>
      </w:r>
      <w:r w:rsidR="000B2908">
        <w:rPr>
          <w:rStyle w:val="FootnoteReference"/>
        </w:rPr>
        <w:footnoteReference w:id="3"/>
      </w:r>
      <w:r w:rsidR="000B2908" w:rsidRPr="000B2908">
        <w:rPr>
          <w:vertAlign w:val="superscript"/>
        </w:rPr>
        <w:t>,</w:t>
      </w:r>
      <w:r w:rsidR="000B2908">
        <w:rPr>
          <w:rStyle w:val="FootnoteReference"/>
        </w:rPr>
        <w:footnoteReference w:id="4"/>
      </w:r>
      <w:r w:rsidR="000B2908">
        <w:rPr>
          <w:vertAlign w:val="superscript"/>
        </w:rPr>
        <w:t>,</w:t>
      </w:r>
      <w:r w:rsidR="000B2908">
        <w:rPr>
          <w:rStyle w:val="FootnoteReference"/>
        </w:rPr>
        <w:footnoteReference w:id="5"/>
      </w:r>
    </w:p>
    <w:p w14:paraId="2D254860"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073EFC6" w14:textId="4399E3B8" w:rsidR="00872D5E" w:rsidRDefault="00DD5339" w:rsidP="00B54018">
      <w:pPr>
        <w:ind w:left="360"/>
        <w:jc w:val="both"/>
        <w:rPr>
          <w:lang w:val="en-GB"/>
        </w:rPr>
      </w:pPr>
      <w:r w:rsidRPr="003D18E6">
        <w:rPr>
          <w:lang w:val="en-GB"/>
        </w:rPr>
        <w:t xml:space="preserve">Germline </w:t>
      </w:r>
      <w:r w:rsidR="006E655F" w:rsidRPr="00DF6B11">
        <w:rPr>
          <w:i/>
          <w:lang w:val="en-GB"/>
        </w:rPr>
        <w:t xml:space="preserve">BRCA </w:t>
      </w:r>
      <w:r w:rsidR="006E655F">
        <w:rPr>
          <w:lang w:val="en-GB"/>
        </w:rPr>
        <w:t xml:space="preserve">mutation testing is currently </w:t>
      </w:r>
      <w:r w:rsidR="00C66D8C">
        <w:rPr>
          <w:lang w:val="en-GB"/>
        </w:rPr>
        <w:t xml:space="preserve">well established in Australia especially for </w:t>
      </w:r>
      <w:r w:rsidR="00252879">
        <w:rPr>
          <w:lang w:val="en-GB"/>
        </w:rPr>
        <w:t xml:space="preserve">familial risk assessment and more recently to determine patient eligibility for </w:t>
      </w:r>
      <w:proofErr w:type="spellStart"/>
      <w:r w:rsidR="00252879">
        <w:rPr>
          <w:lang w:val="en-GB"/>
        </w:rPr>
        <w:t>olaparib</w:t>
      </w:r>
      <w:proofErr w:type="spellEnd"/>
      <w:r w:rsidR="00252879">
        <w:rPr>
          <w:lang w:val="en-GB"/>
        </w:rPr>
        <w:t xml:space="preserve"> in the ovarian cancer population.</w:t>
      </w:r>
    </w:p>
    <w:p w14:paraId="01C1E6E9" w14:textId="23302B24" w:rsidR="00252879" w:rsidRDefault="004E54FF" w:rsidP="00B54018">
      <w:pPr>
        <w:ind w:left="360"/>
        <w:jc w:val="both"/>
        <w:rPr>
          <w:lang w:val="en-GB"/>
        </w:rPr>
      </w:pPr>
      <w:r>
        <w:rPr>
          <w:lang w:val="en-GB"/>
        </w:rPr>
        <w:t>Publically (state</w:t>
      </w:r>
      <w:r w:rsidR="00252879" w:rsidRPr="009E40AF">
        <w:rPr>
          <w:lang w:val="en-GB"/>
        </w:rPr>
        <w:t xml:space="preserve">) funded </w:t>
      </w:r>
      <w:r w:rsidR="00252879" w:rsidRPr="007977DB">
        <w:rPr>
          <w:i/>
          <w:lang w:val="en-GB"/>
        </w:rPr>
        <w:t>BRCA</w:t>
      </w:r>
      <w:r w:rsidR="00252879" w:rsidRPr="009E40AF">
        <w:rPr>
          <w:lang w:val="en-GB"/>
        </w:rPr>
        <w:t xml:space="preserve"> genetic testing is available through public and some private Familial Cancer Centres (FCC) across Australia to those families who meet certain criteria. Self-funded gene testing can be arranged through a patient</w:t>
      </w:r>
      <w:r w:rsidR="009E40AF">
        <w:rPr>
          <w:lang w:val="en-GB"/>
        </w:rPr>
        <w:t>’</w:t>
      </w:r>
      <w:r w:rsidR="00252879" w:rsidRPr="009E40AF">
        <w:rPr>
          <w:lang w:val="en-GB"/>
        </w:rPr>
        <w:t xml:space="preserve">s general </w:t>
      </w:r>
      <w:r w:rsidR="009E40AF" w:rsidRPr="009E40AF">
        <w:rPr>
          <w:lang w:val="en-GB"/>
        </w:rPr>
        <w:t>practitioner</w:t>
      </w:r>
      <w:r w:rsidR="00252879" w:rsidRPr="009E40AF">
        <w:rPr>
          <w:lang w:val="en-GB"/>
        </w:rPr>
        <w:t xml:space="preserve"> and available </w:t>
      </w:r>
      <w:r w:rsidR="009E40AF" w:rsidRPr="009E40AF">
        <w:rPr>
          <w:lang w:val="en-GB"/>
        </w:rPr>
        <w:t>t</w:t>
      </w:r>
      <w:r w:rsidR="00252879" w:rsidRPr="009E40AF">
        <w:rPr>
          <w:lang w:val="en-GB"/>
        </w:rPr>
        <w:t>hrough private laboratories</w:t>
      </w:r>
      <w:r w:rsidR="009E40AF" w:rsidRPr="009E40AF">
        <w:rPr>
          <w:lang w:val="en-GB"/>
        </w:rPr>
        <w:t>.</w:t>
      </w:r>
    </w:p>
    <w:p w14:paraId="2FB02EA9" w14:textId="23CD56F1" w:rsidR="00DC1C5A" w:rsidRPr="000B2908" w:rsidRDefault="000442E0" w:rsidP="004E54FF">
      <w:pPr>
        <w:ind w:left="360"/>
        <w:jc w:val="both"/>
        <w:rPr>
          <w:lang w:val="en-GB"/>
        </w:rPr>
      </w:pPr>
      <w:r>
        <w:rPr>
          <w:lang w:val="en-GB"/>
        </w:rPr>
        <w:t>G</w:t>
      </w:r>
      <w:r w:rsidR="006E655F">
        <w:rPr>
          <w:lang w:val="en-GB"/>
        </w:rPr>
        <w:t xml:space="preserve">ermline </w:t>
      </w:r>
      <w:r w:rsidR="00DD5339" w:rsidRPr="003D18E6">
        <w:rPr>
          <w:lang w:val="en-GB"/>
        </w:rPr>
        <w:t xml:space="preserve">mutations in </w:t>
      </w:r>
      <w:r w:rsidR="00DD5339" w:rsidRPr="003D18E6">
        <w:rPr>
          <w:i/>
          <w:iCs/>
          <w:lang w:val="en-GB"/>
        </w:rPr>
        <w:t>BRCA</w:t>
      </w:r>
      <w:r w:rsidR="00DD5339" w:rsidRPr="00B54018">
        <w:rPr>
          <w:i/>
          <w:lang w:val="en-GB"/>
        </w:rPr>
        <w:t>1</w:t>
      </w:r>
      <w:r w:rsidR="00DD5339" w:rsidRPr="003D18E6">
        <w:rPr>
          <w:lang w:val="en-GB"/>
        </w:rPr>
        <w:t xml:space="preserve"> or </w:t>
      </w:r>
      <w:r w:rsidR="00DD5339" w:rsidRPr="003D18E6">
        <w:rPr>
          <w:i/>
          <w:iCs/>
          <w:lang w:val="en-GB"/>
        </w:rPr>
        <w:t>BRCA</w:t>
      </w:r>
      <w:r w:rsidR="00495216" w:rsidRPr="00B54018">
        <w:rPr>
          <w:i/>
          <w:lang w:val="en-GB"/>
        </w:rPr>
        <w:t xml:space="preserve">2 </w:t>
      </w:r>
      <w:r w:rsidR="00DD5339" w:rsidRPr="003D18E6">
        <w:rPr>
          <w:lang w:val="en-GB"/>
        </w:rPr>
        <w:t>are present in around 5% of breast cancers overall</w:t>
      </w:r>
      <w:r w:rsidR="000B2908">
        <w:rPr>
          <w:rStyle w:val="FootnoteReference"/>
          <w:lang w:val="en-GB"/>
        </w:rPr>
        <w:footnoteReference w:id="6"/>
      </w:r>
      <w:r w:rsidR="00DD5339" w:rsidRPr="003D18E6">
        <w:rPr>
          <w:lang w:val="en-GB"/>
        </w:rPr>
        <w:t xml:space="preserve">, and </w:t>
      </w:r>
      <w:r w:rsidR="004E54FF">
        <w:t xml:space="preserve">the </w:t>
      </w:r>
      <w:proofErr w:type="spellStart"/>
      <w:r w:rsidR="004E54FF">
        <w:t>eviQ</w:t>
      </w:r>
      <w:proofErr w:type="spellEnd"/>
      <w:r w:rsidR="004E54FF">
        <w:t xml:space="preserve"> guidelines currently recommend </w:t>
      </w:r>
      <w:proofErr w:type="spellStart"/>
      <w:r w:rsidR="004E54FF" w:rsidRPr="00863824">
        <w:rPr>
          <w:i/>
        </w:rPr>
        <w:t>BRCA</w:t>
      </w:r>
      <w:r w:rsidR="004E54FF">
        <w:t>m</w:t>
      </w:r>
      <w:proofErr w:type="spellEnd"/>
      <w:r w:rsidR="004E54FF">
        <w:t xml:space="preserve"> testing in individuals with: TNBC age ≤ 5</w:t>
      </w:r>
      <w:r w:rsidR="004E54FF" w:rsidRPr="00306077">
        <w:t xml:space="preserve">0; high-grade non-mucinous </w:t>
      </w:r>
      <w:r w:rsidR="004E54FF" w:rsidRPr="00306077">
        <w:rPr>
          <w:iCs/>
          <w:lang w:val="en-GB"/>
        </w:rPr>
        <w:t>ovarian cancer</w:t>
      </w:r>
      <w:r w:rsidR="004E54FF">
        <w:t xml:space="preserve"> age ≤</w:t>
      </w:r>
      <w:r w:rsidR="004E54FF" w:rsidRPr="00306077">
        <w:t xml:space="preserve"> 70; non-mucinous </w:t>
      </w:r>
      <w:r w:rsidR="004E54FF" w:rsidRPr="00306077">
        <w:rPr>
          <w:i/>
          <w:iCs/>
          <w:lang w:val="en-GB"/>
        </w:rPr>
        <w:t>ovarian cancer</w:t>
      </w:r>
      <w:r w:rsidR="004E54FF" w:rsidRPr="00306077">
        <w:t>, any age + family history; OR known BRCA mutation in a relative</w:t>
      </w:r>
      <w:r w:rsidR="00DD5339" w:rsidRPr="00B54018">
        <w:rPr>
          <w:i/>
          <w:lang w:val="en-GB"/>
        </w:rPr>
        <w:t>BRCA</w:t>
      </w:r>
      <w:r w:rsidR="00DD5339" w:rsidRPr="003D18E6">
        <w:rPr>
          <w:i/>
          <w:iCs/>
          <w:lang w:val="en-GB"/>
        </w:rPr>
        <w:t xml:space="preserve"> </w:t>
      </w:r>
      <w:r w:rsidR="00DD5339" w:rsidRPr="003D18E6">
        <w:rPr>
          <w:lang w:val="en-GB"/>
        </w:rPr>
        <w:t>testing is not routinely recommended for all women diagnosed with the disease</w:t>
      </w:r>
      <w:r w:rsidR="00495216">
        <w:rPr>
          <w:lang w:val="en-GB"/>
        </w:rPr>
        <w:t>.</w:t>
      </w:r>
      <w:r w:rsidR="00863824" w:rsidRPr="00863824">
        <w:rPr>
          <w:rStyle w:val="FootnoteReference"/>
        </w:rPr>
        <w:t xml:space="preserve"> </w:t>
      </w:r>
      <w:r w:rsidR="00863824">
        <w:rPr>
          <w:rStyle w:val="FootnoteReference"/>
        </w:rPr>
        <w:footnoteReference w:id="7"/>
      </w:r>
      <w:r w:rsidR="00F93431">
        <w:rPr>
          <w:vertAlign w:val="superscript"/>
          <w:lang w:val="en-GB"/>
        </w:rPr>
        <w:t xml:space="preserve"> </w:t>
      </w:r>
    </w:p>
    <w:p w14:paraId="14FAE69C" w14:textId="311BE464" w:rsidR="00F93431" w:rsidRDefault="001169EB" w:rsidP="00B54018">
      <w:pPr>
        <w:ind w:left="360"/>
        <w:jc w:val="both"/>
        <w:rPr>
          <w:bCs/>
          <w:kern w:val="32"/>
        </w:rPr>
      </w:pPr>
      <w:r w:rsidRPr="000C7BC7">
        <w:rPr>
          <w:bCs/>
          <w:kern w:val="32"/>
        </w:rPr>
        <w:t xml:space="preserve">Testing for germline </w:t>
      </w:r>
      <w:r w:rsidRPr="000C7BC7">
        <w:rPr>
          <w:bCs/>
          <w:i/>
          <w:kern w:val="32"/>
        </w:rPr>
        <w:t>BRCA</w:t>
      </w:r>
      <w:r w:rsidR="001F720F">
        <w:rPr>
          <w:bCs/>
          <w:i/>
          <w:kern w:val="32"/>
        </w:rPr>
        <w:t xml:space="preserve"> </w:t>
      </w:r>
      <w:r w:rsidRPr="000C7BC7">
        <w:rPr>
          <w:bCs/>
          <w:kern w:val="32"/>
        </w:rPr>
        <w:t>m</w:t>
      </w:r>
      <w:r w:rsidR="001F720F">
        <w:rPr>
          <w:bCs/>
          <w:kern w:val="32"/>
        </w:rPr>
        <w:t>utation</w:t>
      </w:r>
      <w:r w:rsidRPr="000C7BC7">
        <w:rPr>
          <w:bCs/>
          <w:kern w:val="32"/>
        </w:rPr>
        <w:t xml:space="preserve"> informs treatment choices and outcomes,</w:t>
      </w:r>
      <w:r w:rsidR="00910915">
        <w:rPr>
          <w:rStyle w:val="FootnoteReference"/>
          <w:bCs/>
          <w:kern w:val="32"/>
        </w:rPr>
        <w:footnoteReference w:id="8"/>
      </w:r>
      <w:r>
        <w:rPr>
          <w:bCs/>
          <w:kern w:val="32"/>
        </w:rPr>
        <w:fldChar w:fldCharType="begin">
          <w:fldData xml:space="preserve">PEVuZE5vdGU+PENpdGU+PEF1dGhvcj5UdXR0PC9BdXRob3I+PFllYXI+MjAxMDwvWWVhcj48UmVj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</w:fldData>
        </w:fldChar>
      </w:r>
      <w:r>
        <w:rPr>
          <w:bCs/>
          <w:kern w:val="32"/>
        </w:rPr>
        <w:instrText xml:space="preserve"> ADDIN EN.CITE </w:instrText>
      </w:r>
      <w:r>
        <w:rPr>
          <w:bCs/>
          <w:kern w:val="32"/>
        </w:rPr>
        <w:fldChar w:fldCharType="begin">
          <w:fldData xml:space="preserve">PEVuZE5vdGU+PENpdGU+PEF1dGhvcj5UdXR0PC9BdXRob3I+PFllYXI+MjAxMDwvWWVhcj48UmVj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</w:fldData>
        </w:fldChar>
      </w:r>
      <w:r>
        <w:rPr>
          <w:bCs/>
          <w:kern w:val="32"/>
        </w:rPr>
        <w:instrText xml:space="preserve"> ADDIN EN.CITE.DATA </w:instrText>
      </w:r>
      <w:r>
        <w:rPr>
          <w:bCs/>
          <w:kern w:val="32"/>
        </w:rPr>
      </w:r>
      <w:r>
        <w:rPr>
          <w:bCs/>
          <w:kern w:val="32"/>
        </w:rPr>
        <w:fldChar w:fldCharType="end"/>
      </w:r>
      <w:r>
        <w:rPr>
          <w:bCs/>
          <w:kern w:val="32"/>
        </w:rPr>
      </w:r>
      <w:r>
        <w:rPr>
          <w:bCs/>
          <w:kern w:val="32"/>
        </w:rPr>
        <w:fldChar w:fldCharType="separate"/>
      </w:r>
      <w:r w:rsidRPr="00062EAE">
        <w:rPr>
          <w:bCs/>
          <w:noProof/>
          <w:kern w:val="32"/>
          <w:vertAlign w:val="superscript"/>
        </w:rPr>
        <w:t>,</w:t>
      </w:r>
      <w:r w:rsidR="00910915">
        <w:rPr>
          <w:bCs/>
          <w:noProof/>
          <w:kern w:val="32"/>
          <w:vertAlign w:val="superscript"/>
        </w:rPr>
        <w:t xml:space="preserve"> </w:t>
      </w:r>
      <w:r w:rsidR="00910915">
        <w:rPr>
          <w:rStyle w:val="FootnoteReference"/>
          <w:bCs/>
          <w:noProof/>
          <w:kern w:val="32"/>
        </w:rPr>
        <w:footnoteReference w:id="9"/>
      </w:r>
      <w:r w:rsidR="00910915">
        <w:rPr>
          <w:bCs/>
          <w:noProof/>
          <w:kern w:val="32"/>
          <w:vertAlign w:val="superscript"/>
        </w:rPr>
        <w:t xml:space="preserve">, </w:t>
      </w:r>
      <w:r w:rsidR="00910915">
        <w:rPr>
          <w:rStyle w:val="FootnoteReference"/>
          <w:bCs/>
          <w:noProof/>
          <w:kern w:val="32"/>
        </w:rPr>
        <w:footnoteReference w:id="10"/>
      </w:r>
      <w:r w:rsidR="00910915">
        <w:rPr>
          <w:bCs/>
          <w:noProof/>
          <w:kern w:val="32"/>
          <w:vertAlign w:val="superscript"/>
        </w:rPr>
        <w:t xml:space="preserve"> </w:t>
      </w:r>
      <w:r>
        <w:rPr>
          <w:bCs/>
          <w:kern w:val="32"/>
        </w:rPr>
        <w:fldChar w:fldCharType="end"/>
      </w:r>
      <w:r w:rsidR="00910915">
        <w:rPr>
          <w:bCs/>
          <w:kern w:val="32"/>
        </w:rPr>
        <w:t xml:space="preserve"> </w:t>
      </w:r>
      <w:r w:rsidRPr="006742C3">
        <w:rPr>
          <w:bCs/>
          <w:kern w:val="32"/>
        </w:rPr>
        <w:t xml:space="preserve">and will ensure that targeted products such as </w:t>
      </w:r>
      <w:proofErr w:type="spellStart"/>
      <w:r w:rsidRPr="006742C3">
        <w:rPr>
          <w:bCs/>
          <w:kern w:val="32"/>
        </w:rPr>
        <w:t>olaparib</w:t>
      </w:r>
      <w:proofErr w:type="spellEnd"/>
      <w:r w:rsidRPr="006742C3">
        <w:rPr>
          <w:bCs/>
          <w:kern w:val="32"/>
        </w:rPr>
        <w:t xml:space="preserve"> are used for indications where patients</w:t>
      </w:r>
      <w:r w:rsidR="00C5258C">
        <w:rPr>
          <w:bCs/>
          <w:kern w:val="32"/>
        </w:rPr>
        <w:t xml:space="preserve"> are eligible for treatment and </w:t>
      </w:r>
      <w:r w:rsidR="00C5258C">
        <w:rPr>
          <w:bCs/>
          <w:kern w:val="32"/>
        </w:rPr>
        <w:lastRenderedPageBreak/>
        <w:t xml:space="preserve">will </w:t>
      </w:r>
      <w:r w:rsidRPr="006742C3">
        <w:rPr>
          <w:bCs/>
          <w:kern w:val="32"/>
        </w:rPr>
        <w:t xml:space="preserve">get the most benefit. In addition, </w:t>
      </w:r>
      <w:r w:rsidRPr="006742C3">
        <w:rPr>
          <w:bCs/>
          <w:i/>
          <w:kern w:val="32"/>
        </w:rPr>
        <w:t>BRCA</w:t>
      </w:r>
      <w:r w:rsidR="001F720F">
        <w:rPr>
          <w:bCs/>
          <w:i/>
          <w:kern w:val="32"/>
        </w:rPr>
        <w:t xml:space="preserve"> </w:t>
      </w:r>
      <w:r w:rsidRPr="006742C3">
        <w:rPr>
          <w:bCs/>
          <w:kern w:val="32"/>
        </w:rPr>
        <w:t>m</w:t>
      </w:r>
      <w:r w:rsidR="001F720F">
        <w:rPr>
          <w:bCs/>
          <w:kern w:val="32"/>
        </w:rPr>
        <w:t>utation</w:t>
      </w:r>
      <w:r w:rsidRPr="006742C3">
        <w:rPr>
          <w:bCs/>
          <w:kern w:val="32"/>
        </w:rPr>
        <w:t xml:space="preserve"> testing can help identify and address increased cancer risk in family members through surveillance or prophylactic surgery.</w:t>
      </w:r>
      <w:r w:rsidR="00E60ED8">
        <w:rPr>
          <w:rStyle w:val="FootnoteReference"/>
          <w:bCs/>
          <w:kern w:val="32"/>
        </w:rPr>
        <w:footnoteReference w:id="11"/>
      </w:r>
      <w:r w:rsidR="00E60ED8">
        <w:rPr>
          <w:bCs/>
          <w:kern w:val="32"/>
        </w:rPr>
        <w:t xml:space="preserve"> </w:t>
      </w:r>
    </w:p>
    <w:p w14:paraId="6F78A50B" w14:textId="188BA942" w:rsidR="00CB12EC" w:rsidRPr="00CB12EC" w:rsidRDefault="008923F4" w:rsidP="003A0817">
      <w:pPr>
        <w:ind w:left="360"/>
        <w:jc w:val="both"/>
      </w:pPr>
      <w:r>
        <w:t xml:space="preserve">This co-dependent submission requests public funding for germline </w:t>
      </w:r>
      <w:r w:rsidRPr="00A07EDD">
        <w:rPr>
          <w:i/>
        </w:rPr>
        <w:t>BRCA</w:t>
      </w:r>
      <w:r>
        <w:t xml:space="preserve"> mutation testing to determine eligibil</w:t>
      </w:r>
      <w:r w:rsidR="005B5FF1">
        <w:t xml:space="preserve">ity of </w:t>
      </w:r>
      <w:proofErr w:type="spellStart"/>
      <w:r w:rsidR="005B5FF1">
        <w:t>olaparib</w:t>
      </w:r>
      <w:proofErr w:type="spellEnd"/>
      <w:r w:rsidR="005B5FF1">
        <w:t xml:space="preserve"> treatment in patients</w:t>
      </w:r>
      <w:r>
        <w:t xml:space="preserve"> with locally advanced or metastatic </w:t>
      </w:r>
      <w:r w:rsidR="000442E0">
        <w:t xml:space="preserve">HER2 negative </w:t>
      </w:r>
      <w:r>
        <w:t>breast cancer (which are either hormone receptor positive</w:t>
      </w:r>
      <w:r w:rsidR="009A3EC3">
        <w:t xml:space="preserve"> </w:t>
      </w:r>
      <w:r>
        <w:t>or triple negative</w:t>
      </w:r>
      <w:r w:rsidR="005B5FF1">
        <w:t xml:space="preserve">).  It is proposed that only patients who are germline BRCA mutation positive </w:t>
      </w:r>
      <w:r w:rsidR="00863824">
        <w:t xml:space="preserve">and </w:t>
      </w:r>
      <w:r w:rsidR="00863824">
        <w:rPr>
          <w:bCs/>
          <w:iCs/>
        </w:rPr>
        <w:t xml:space="preserve">have received prior treatment with anthracycline and </w:t>
      </w:r>
      <w:proofErr w:type="spellStart"/>
      <w:r w:rsidR="00863824">
        <w:rPr>
          <w:bCs/>
          <w:iCs/>
        </w:rPr>
        <w:t>taxane</w:t>
      </w:r>
      <w:proofErr w:type="spellEnd"/>
      <w:r w:rsidR="00863824">
        <w:rPr>
          <w:bCs/>
          <w:iCs/>
        </w:rPr>
        <w:t xml:space="preserve"> and are refractory to hormone therapy</w:t>
      </w:r>
      <w:r w:rsidR="00863824">
        <w:t xml:space="preserve"> </w:t>
      </w:r>
      <w:r w:rsidR="005B5FF1">
        <w:t xml:space="preserve">will be eligible for </w:t>
      </w:r>
      <w:proofErr w:type="spellStart"/>
      <w:r w:rsidR="005B5FF1">
        <w:t>olaparib</w:t>
      </w:r>
      <w:proofErr w:type="spellEnd"/>
      <w:r w:rsidR="005B5FF1">
        <w:t xml:space="preserve"> treatment.</w:t>
      </w:r>
    </w:p>
    <w:p w14:paraId="02609208"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DCEFA46" w14:textId="77777777" w:rsidR="00753C44" w:rsidRDefault="0093159A"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1F14C5">
        <w:rPr>
          <w:szCs w:val="20"/>
        </w:rPr>
      </w:r>
      <w:r w:rsidR="001F14C5">
        <w:rPr>
          <w:szCs w:val="20"/>
        </w:rPr>
        <w:fldChar w:fldCharType="separate"/>
      </w:r>
      <w:r>
        <w:rPr>
          <w:szCs w:val="20"/>
        </w:rPr>
        <w:fldChar w:fldCharType="end"/>
      </w:r>
      <w:bookmarkEnd w:id="2"/>
      <w:r w:rsidR="006B6390">
        <w:rPr>
          <w:szCs w:val="20"/>
        </w:rPr>
        <w:t xml:space="preserve"> Yes</w:t>
      </w:r>
    </w:p>
    <w:p w14:paraId="18642035"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4345464" w14:textId="77777777" w:rsidR="000B3CD0" w:rsidRPr="0011036E" w:rsidRDefault="000B3CD0" w:rsidP="007F3FC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6965093" w14:textId="77777777" w:rsidR="00753C44" w:rsidRDefault="00392AF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7F9E05D8" w14:textId="77777777" w:rsidR="00753C44" w:rsidRDefault="0093159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6C5325C7" w14:textId="77777777" w:rsidR="00392AFE" w:rsidRDefault="00392AFE" w:rsidP="00A6491A">
      <w:pPr>
        <w:spacing w:before="0" w:after="0"/>
        <w:ind w:left="284"/>
        <w:rPr>
          <w:szCs w:val="20"/>
        </w:rPr>
      </w:pPr>
    </w:p>
    <w:p w14:paraId="4CDD3C4D" w14:textId="177CA280" w:rsidR="00392AFE" w:rsidRPr="005B5FF1" w:rsidRDefault="00782CAD" w:rsidP="00E33D06">
      <w:pPr>
        <w:spacing w:before="0" w:after="0"/>
        <w:ind w:left="360"/>
        <w:jc w:val="both"/>
        <w:rPr>
          <w:szCs w:val="20"/>
        </w:rPr>
      </w:pPr>
      <w:r>
        <w:rPr>
          <w:rStyle w:val="Strong"/>
          <w:b w:val="0"/>
        </w:rPr>
        <w:t>AstraZeneca will be guided by the D</w:t>
      </w:r>
      <w:r w:rsidR="00872D5E">
        <w:rPr>
          <w:rStyle w:val="Strong"/>
          <w:b w:val="0"/>
        </w:rPr>
        <w:t>epartment of Health</w:t>
      </w:r>
      <w:r w:rsidR="007977DB">
        <w:rPr>
          <w:rStyle w:val="Strong"/>
          <w:b w:val="0"/>
        </w:rPr>
        <w:t xml:space="preserve"> (</w:t>
      </w:r>
      <w:proofErr w:type="spellStart"/>
      <w:r w:rsidR="007977DB">
        <w:rPr>
          <w:rStyle w:val="Strong"/>
          <w:b w:val="0"/>
        </w:rPr>
        <w:t>DoH</w:t>
      </w:r>
      <w:proofErr w:type="spellEnd"/>
      <w:r w:rsidR="007977DB">
        <w:rPr>
          <w:rStyle w:val="Strong"/>
          <w:b w:val="0"/>
        </w:rPr>
        <w:t xml:space="preserve">) </w:t>
      </w:r>
      <w:r>
        <w:rPr>
          <w:rStyle w:val="Strong"/>
          <w:b w:val="0"/>
        </w:rPr>
        <w:t>and MSAC to assess whether an amendment to the existing MBS item or new MBS item is required.</w:t>
      </w:r>
      <w:r w:rsidR="00392AFE" w:rsidRPr="005B5FF1">
        <w:rPr>
          <w:szCs w:val="20"/>
        </w:rPr>
        <w:t xml:space="preserve"> </w:t>
      </w:r>
    </w:p>
    <w:p w14:paraId="5E5F3D4C" w14:textId="77777777" w:rsidR="0057697E" w:rsidRDefault="000B3CD0" w:rsidP="007F3FCD">
      <w:pPr>
        <w:pStyle w:val="Heading2"/>
        <w:numPr>
          <w:ilvl w:val="0"/>
          <w:numId w:val="3"/>
        </w:numPr>
        <w:rPr>
          <w:rStyle w:val="Strong"/>
          <w:rFonts w:asciiTheme="minorHAnsi" w:eastAsiaTheme="minorHAnsi" w:hAnsiTheme="minorHAnsi" w:cstheme="minorBidi"/>
          <w:b/>
        </w:rPr>
      </w:pPr>
      <w:r w:rsidRPr="005B5FF1">
        <w:rPr>
          <w:rStyle w:val="Strong"/>
          <w:rFonts w:asciiTheme="minorHAnsi" w:eastAsiaTheme="minorHAnsi" w:hAnsiTheme="minorHAnsi" w:cstheme="minorBidi"/>
          <w:b/>
        </w:rPr>
        <w:t xml:space="preserve">If </w:t>
      </w:r>
      <w:r w:rsidR="00126B33" w:rsidRPr="005B5FF1">
        <w:rPr>
          <w:rStyle w:val="Strong"/>
          <w:rFonts w:asciiTheme="minorHAnsi" w:eastAsiaTheme="minorHAnsi" w:hAnsiTheme="minorHAnsi" w:cstheme="minorBidi"/>
          <w:b/>
        </w:rPr>
        <w:t xml:space="preserve">an amendment </w:t>
      </w:r>
      <w:r w:rsidR="003020B5" w:rsidRPr="005B5FF1">
        <w:rPr>
          <w:rStyle w:val="Strong"/>
          <w:rFonts w:asciiTheme="minorHAnsi" w:eastAsiaTheme="minorHAnsi" w:hAnsiTheme="minorHAnsi" w:cstheme="minorBidi"/>
          <w:b/>
        </w:rPr>
        <w:t xml:space="preserve">to </w:t>
      </w:r>
      <w:r w:rsidR="00126B33" w:rsidRPr="005B5FF1">
        <w:rPr>
          <w:rStyle w:val="Strong"/>
          <w:rFonts w:asciiTheme="minorHAnsi" w:eastAsiaTheme="minorHAnsi" w:hAnsiTheme="minorHAnsi" w:cstheme="minorBidi"/>
          <w:b/>
        </w:rPr>
        <w:t xml:space="preserve">an </w:t>
      </w:r>
      <w:r w:rsidR="003020B5" w:rsidRPr="005B5FF1">
        <w:rPr>
          <w:rStyle w:val="Strong"/>
          <w:rFonts w:asciiTheme="minorHAnsi" w:eastAsiaTheme="minorHAnsi" w:hAnsiTheme="minorHAnsi" w:cstheme="minorBidi"/>
          <w:b/>
        </w:rPr>
        <w:t>existing item</w:t>
      </w:r>
      <w:r w:rsidR="005D0677" w:rsidRPr="005B5FF1">
        <w:rPr>
          <w:rStyle w:val="Strong"/>
          <w:rFonts w:asciiTheme="minorHAnsi" w:eastAsiaTheme="minorHAnsi" w:hAnsiTheme="minorHAnsi" w:cstheme="minorBidi"/>
          <w:b/>
        </w:rPr>
        <w:t>(s)</w:t>
      </w:r>
      <w:r w:rsidR="00126B33" w:rsidRPr="005B5FF1">
        <w:rPr>
          <w:rStyle w:val="Strong"/>
          <w:rFonts w:asciiTheme="minorHAnsi" w:eastAsiaTheme="minorHAnsi" w:hAnsiTheme="minorHAnsi" w:cstheme="minorBidi"/>
          <w:b/>
        </w:rPr>
        <w:t xml:space="preserve"> is being sought</w:t>
      </w:r>
      <w:r w:rsidR="003020B5" w:rsidRPr="005B5FF1">
        <w:rPr>
          <w:rStyle w:val="Strong"/>
          <w:rFonts w:asciiTheme="minorHAnsi" w:eastAsiaTheme="minorHAnsi" w:hAnsiTheme="minorHAnsi" w:cstheme="minorBidi"/>
          <w:b/>
        </w:rPr>
        <w:t>,</w:t>
      </w:r>
      <w:r w:rsidRPr="005B5FF1">
        <w:rPr>
          <w:rStyle w:val="Strong"/>
          <w:rFonts w:asciiTheme="minorHAnsi" w:eastAsiaTheme="minorHAnsi" w:hAnsiTheme="minorHAnsi" w:cstheme="minorBidi"/>
          <w:b/>
        </w:rPr>
        <w:t xml:space="preserve"> please </w:t>
      </w:r>
      <w:r w:rsidR="00126B33" w:rsidRPr="005B5FF1">
        <w:rPr>
          <w:rStyle w:val="Strong"/>
          <w:rFonts w:asciiTheme="minorHAnsi" w:eastAsiaTheme="minorHAnsi" w:hAnsiTheme="minorHAnsi" w:cstheme="minorBidi"/>
          <w:b/>
        </w:rPr>
        <w:t xml:space="preserve">list </w:t>
      </w:r>
      <w:r w:rsidRPr="005B5FF1">
        <w:rPr>
          <w:rStyle w:val="Strong"/>
          <w:rFonts w:asciiTheme="minorHAnsi" w:eastAsiaTheme="minorHAnsi" w:hAnsiTheme="minorHAnsi" w:cstheme="minorBidi"/>
          <w:b/>
        </w:rPr>
        <w:t xml:space="preserve">the relevant MBS item number(s) </w:t>
      </w:r>
      <w:r w:rsidR="009C03FB" w:rsidRPr="005B5FF1">
        <w:rPr>
          <w:rStyle w:val="Strong"/>
          <w:rFonts w:asciiTheme="minorHAnsi" w:eastAsiaTheme="minorHAnsi" w:hAnsiTheme="minorHAnsi" w:cstheme="minorBidi"/>
          <w:b/>
        </w:rPr>
        <w:t xml:space="preserve">that </w:t>
      </w:r>
      <w:r w:rsidR="00126B33" w:rsidRPr="005B5FF1">
        <w:rPr>
          <w:rStyle w:val="Strong"/>
          <w:rFonts w:asciiTheme="minorHAnsi" w:eastAsiaTheme="minorHAnsi" w:hAnsiTheme="minorHAnsi" w:cstheme="minorBidi"/>
          <w:b/>
        </w:rPr>
        <w:t xml:space="preserve">are </w:t>
      </w:r>
      <w:r w:rsidR="005A6AB9" w:rsidRPr="005B5FF1">
        <w:rPr>
          <w:rStyle w:val="Strong"/>
          <w:rFonts w:asciiTheme="minorHAnsi" w:eastAsiaTheme="minorHAnsi" w:hAnsiTheme="minorHAnsi" w:cstheme="minorBidi"/>
          <w:b/>
        </w:rPr>
        <w:t xml:space="preserve">to be </w:t>
      </w:r>
      <w:r w:rsidR="00126B33" w:rsidRPr="005B5FF1">
        <w:rPr>
          <w:rStyle w:val="Strong"/>
          <w:rFonts w:asciiTheme="minorHAnsi" w:eastAsiaTheme="minorHAnsi" w:hAnsiTheme="minorHAnsi" w:cstheme="minorBidi"/>
          <w:b/>
        </w:rPr>
        <w:t xml:space="preserve">amended </w:t>
      </w:r>
      <w:r w:rsidR="005A6AB9" w:rsidRPr="005B5FF1">
        <w:rPr>
          <w:rStyle w:val="Strong"/>
          <w:rFonts w:asciiTheme="minorHAnsi" w:eastAsiaTheme="minorHAnsi" w:hAnsiTheme="minorHAnsi" w:cstheme="minorBidi"/>
          <w:b/>
        </w:rPr>
        <w:t xml:space="preserve">to </w:t>
      </w:r>
      <w:r w:rsidR="00A93F58" w:rsidRPr="005B5FF1">
        <w:rPr>
          <w:rStyle w:val="Strong"/>
          <w:rFonts w:asciiTheme="minorHAnsi" w:eastAsiaTheme="minorHAnsi" w:hAnsiTheme="minorHAnsi" w:cstheme="minorBidi"/>
          <w:b/>
        </w:rPr>
        <w:t xml:space="preserve">include </w:t>
      </w:r>
      <w:r w:rsidR="005A6AB9" w:rsidRPr="005B5FF1">
        <w:rPr>
          <w:rStyle w:val="Strong"/>
          <w:rFonts w:asciiTheme="minorHAnsi" w:eastAsiaTheme="minorHAnsi" w:hAnsiTheme="minorHAnsi" w:cstheme="minorBidi"/>
          <w:b/>
        </w:rPr>
        <w:t>the proposed medical service</w:t>
      </w:r>
      <w:r w:rsidR="00802553" w:rsidRPr="005B5FF1">
        <w:rPr>
          <w:rStyle w:val="Strong"/>
          <w:rFonts w:asciiTheme="minorHAnsi" w:eastAsiaTheme="minorHAnsi" w:hAnsiTheme="minorHAnsi" w:cstheme="minorBidi"/>
          <w:b/>
        </w:rPr>
        <w:t>:</w:t>
      </w:r>
      <w:r w:rsidR="00E06102" w:rsidRPr="005B5FF1">
        <w:rPr>
          <w:rStyle w:val="Strong"/>
          <w:rFonts w:asciiTheme="minorHAnsi" w:eastAsiaTheme="minorHAnsi" w:hAnsiTheme="minorHAnsi" w:cstheme="minorBidi"/>
          <w:b/>
        </w:rPr>
        <w:t xml:space="preserve"> </w:t>
      </w:r>
      <w:r w:rsidR="00932AA4" w:rsidRPr="005B5FF1">
        <w:rPr>
          <w:rStyle w:val="Strong"/>
          <w:rFonts w:asciiTheme="minorHAnsi" w:eastAsiaTheme="minorHAnsi" w:hAnsiTheme="minorHAnsi" w:cstheme="minorBidi"/>
          <w:b/>
        </w:rPr>
        <w:t xml:space="preserve"> </w:t>
      </w:r>
    </w:p>
    <w:p w14:paraId="7A901B81" w14:textId="500E45FE" w:rsidR="00932AA4" w:rsidRPr="007977DB" w:rsidRDefault="00932AA4" w:rsidP="007977DB">
      <w:pPr>
        <w:pStyle w:val="Heading2"/>
        <w:numPr>
          <w:ilvl w:val="0"/>
          <w:numId w:val="0"/>
        </w:numPr>
        <w:ind w:left="360" w:firstLine="360"/>
        <w:rPr>
          <w:szCs w:val="22"/>
        </w:rPr>
      </w:pPr>
      <w:r w:rsidRPr="00E60ED8">
        <w:rPr>
          <w:rStyle w:val="Strong"/>
          <w:rFonts w:asciiTheme="minorHAnsi" w:eastAsiaTheme="minorHAnsi" w:hAnsiTheme="minorHAnsi" w:cstheme="minorBidi"/>
        </w:rPr>
        <w:t>MBS item # 73295</w:t>
      </w:r>
    </w:p>
    <w:p w14:paraId="057C0F2A" w14:textId="77777777" w:rsidR="006C0843" w:rsidRPr="0011036E" w:rsidRDefault="006C0843" w:rsidP="007F3FC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35E75EF"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9DF03BA" w14:textId="77777777" w:rsidR="002A270B" w:rsidRPr="004A263B" w:rsidRDefault="0093159A" w:rsidP="007F3FCD">
      <w:pPr>
        <w:pStyle w:val="ListParagraph"/>
        <w:numPr>
          <w:ilvl w:val="0"/>
          <w:numId w:val="13"/>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F14C5">
        <w:rPr>
          <w:b/>
          <w:szCs w:val="20"/>
        </w:rPr>
      </w:r>
      <w:r w:rsidR="001F14C5">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5B9ECF5C"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685DFA0"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8E0E9DA"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777F2E3"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FADCC21"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97CC36A"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261808A" w14:textId="77777777" w:rsidR="002A270B" w:rsidRPr="00012290" w:rsidRDefault="004A263B" w:rsidP="007F3FCD">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F14C5">
        <w:rPr>
          <w:b/>
          <w:szCs w:val="20"/>
        </w:rPr>
      </w:r>
      <w:r w:rsidR="001F14C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18D0F77" w14:textId="41C25EF0" w:rsidR="00A07EDD" w:rsidRDefault="00012290" w:rsidP="009E40AF">
      <w:pPr>
        <w:ind w:left="360"/>
        <w:jc w:val="both"/>
        <w:rPr>
          <w:rStyle w:val="Strong"/>
          <w:b w:val="0"/>
        </w:rPr>
      </w:pPr>
      <w:r w:rsidRPr="00012290">
        <w:rPr>
          <w:rStyle w:val="Strong"/>
          <w:b w:val="0"/>
        </w:rPr>
        <w:t xml:space="preserve">MBS item # 73295 </w:t>
      </w:r>
      <w:r w:rsidR="00A07EDD">
        <w:rPr>
          <w:rStyle w:val="Strong"/>
          <w:b w:val="0"/>
        </w:rPr>
        <w:t xml:space="preserve">is a medical service </w:t>
      </w:r>
      <w:r w:rsidRPr="00012290">
        <w:rPr>
          <w:rStyle w:val="Strong"/>
          <w:b w:val="0"/>
        </w:rPr>
        <w:t xml:space="preserve">funded for the </w:t>
      </w:r>
      <w:r>
        <w:rPr>
          <w:rStyle w:val="Strong"/>
          <w:b w:val="0"/>
        </w:rPr>
        <w:t>d</w:t>
      </w:r>
      <w:r w:rsidRPr="00012290">
        <w:rPr>
          <w:rStyle w:val="Strong"/>
          <w:b w:val="0"/>
        </w:rPr>
        <w:t xml:space="preserve">etection of germline </w:t>
      </w:r>
      <w:r w:rsidRPr="00012290">
        <w:rPr>
          <w:rStyle w:val="Strong"/>
          <w:b w:val="0"/>
          <w:i/>
          <w:iCs/>
        </w:rPr>
        <w:t>BRCA1</w:t>
      </w:r>
      <w:r w:rsidRPr="00012290">
        <w:rPr>
          <w:rStyle w:val="Strong"/>
          <w:b w:val="0"/>
        </w:rPr>
        <w:t xml:space="preserve"> or </w:t>
      </w:r>
      <w:r w:rsidRPr="00012290">
        <w:rPr>
          <w:rStyle w:val="Strong"/>
          <w:b w:val="0"/>
          <w:i/>
          <w:iCs/>
        </w:rPr>
        <w:t>BRCA2</w:t>
      </w:r>
      <w:r w:rsidRPr="00012290">
        <w:rPr>
          <w:rStyle w:val="Strong"/>
          <w:b w:val="0"/>
        </w:rPr>
        <w:t xml:space="preserve"> gene mutations, in a patient with platinum-sensitive relapsed ovarian,</w:t>
      </w:r>
      <w:r w:rsidR="007977DB">
        <w:rPr>
          <w:rStyle w:val="Strong"/>
          <w:b w:val="0"/>
        </w:rPr>
        <w:t xml:space="preserve"> </w:t>
      </w:r>
      <w:r w:rsidRPr="00012290">
        <w:rPr>
          <w:rStyle w:val="Strong"/>
          <w:b w:val="0"/>
        </w:rPr>
        <w:t xml:space="preserve">fallopian tube or primary peritoneal cancer with high grade serous features or a high grade serous component, and who has responded to subsequent platinum-based chemotherapy, requested by a specialist or consultant physician, to determine whether the eligibility criteria for </w:t>
      </w:r>
      <w:proofErr w:type="spellStart"/>
      <w:r w:rsidRPr="00012290">
        <w:rPr>
          <w:rStyle w:val="Strong"/>
          <w:b w:val="0"/>
        </w:rPr>
        <w:t>olaparib</w:t>
      </w:r>
      <w:proofErr w:type="spellEnd"/>
      <w:r w:rsidRPr="00012290">
        <w:rPr>
          <w:rStyle w:val="Strong"/>
          <w:b w:val="0"/>
        </w:rPr>
        <w:t xml:space="preserve"> under the Pharmaceutical Benefits Scheme (PBS) are fulfilled.</w:t>
      </w:r>
      <w:r w:rsidR="00B54018">
        <w:rPr>
          <w:rStyle w:val="Strong"/>
          <w:b w:val="0"/>
        </w:rPr>
        <w:t xml:space="preserve"> </w:t>
      </w:r>
    </w:p>
    <w:p w14:paraId="2B972033" w14:textId="627E09A6" w:rsidR="00012290" w:rsidRPr="00012290" w:rsidRDefault="00B54018" w:rsidP="00E33D06">
      <w:pPr>
        <w:ind w:left="360"/>
        <w:jc w:val="both"/>
        <w:rPr>
          <w:rStyle w:val="Strong"/>
          <w:b w:val="0"/>
        </w:rPr>
      </w:pPr>
      <w:r>
        <w:rPr>
          <w:rStyle w:val="Strong"/>
          <w:b w:val="0"/>
        </w:rPr>
        <w:t xml:space="preserve">This application </w:t>
      </w:r>
      <w:r w:rsidR="00BE7232">
        <w:rPr>
          <w:rStyle w:val="Strong"/>
          <w:b w:val="0"/>
        </w:rPr>
        <w:t xml:space="preserve">seeks funding for the detection of </w:t>
      </w:r>
      <w:r w:rsidR="00BE7232" w:rsidRPr="00012290">
        <w:rPr>
          <w:rStyle w:val="Strong"/>
          <w:b w:val="0"/>
        </w:rPr>
        <w:t xml:space="preserve">germline </w:t>
      </w:r>
      <w:r w:rsidR="00BE7232" w:rsidRPr="00012290">
        <w:rPr>
          <w:rStyle w:val="Strong"/>
          <w:b w:val="0"/>
          <w:i/>
          <w:iCs/>
        </w:rPr>
        <w:t>BRCA1</w:t>
      </w:r>
      <w:r w:rsidR="00BE7232" w:rsidRPr="00012290">
        <w:rPr>
          <w:rStyle w:val="Strong"/>
          <w:b w:val="0"/>
        </w:rPr>
        <w:t xml:space="preserve"> or </w:t>
      </w:r>
      <w:r w:rsidR="00BE7232" w:rsidRPr="00012290">
        <w:rPr>
          <w:rStyle w:val="Strong"/>
          <w:b w:val="0"/>
          <w:i/>
          <w:iCs/>
        </w:rPr>
        <w:t>BRCA2</w:t>
      </w:r>
      <w:r w:rsidR="00BE7232" w:rsidRPr="00012290">
        <w:rPr>
          <w:rStyle w:val="Strong"/>
          <w:b w:val="0"/>
        </w:rPr>
        <w:t xml:space="preserve"> gene mutations</w:t>
      </w:r>
      <w:r w:rsidR="00FD5091">
        <w:rPr>
          <w:rStyle w:val="Strong"/>
          <w:b w:val="0"/>
        </w:rPr>
        <w:t xml:space="preserve"> but for </w:t>
      </w:r>
      <w:r w:rsidR="00BE7232">
        <w:rPr>
          <w:rStyle w:val="Strong"/>
          <w:b w:val="0"/>
        </w:rPr>
        <w:t>a different patient population</w:t>
      </w:r>
      <w:r w:rsidR="008F50DA">
        <w:rPr>
          <w:rStyle w:val="Strong"/>
          <w:b w:val="0"/>
        </w:rPr>
        <w:t xml:space="preserve"> (a pati</w:t>
      </w:r>
      <w:r w:rsidR="007977DB">
        <w:rPr>
          <w:rStyle w:val="Strong"/>
          <w:b w:val="0"/>
        </w:rPr>
        <w:t>ent with advanced or metastatic HER2 negative</w:t>
      </w:r>
      <w:r w:rsidR="008F50DA">
        <w:rPr>
          <w:rStyle w:val="Strong"/>
          <w:b w:val="0"/>
        </w:rPr>
        <w:t xml:space="preserve"> breast cancer) </w:t>
      </w:r>
      <w:r w:rsidR="00BE7232">
        <w:rPr>
          <w:rStyle w:val="Strong"/>
          <w:b w:val="0"/>
        </w:rPr>
        <w:t xml:space="preserve">to determine their eligibility to access </w:t>
      </w:r>
      <w:proofErr w:type="spellStart"/>
      <w:r w:rsidR="00BE7232">
        <w:rPr>
          <w:rStyle w:val="Strong"/>
          <w:b w:val="0"/>
        </w:rPr>
        <w:t>olaparib</w:t>
      </w:r>
      <w:proofErr w:type="spellEnd"/>
      <w:r w:rsidR="00BE7232">
        <w:rPr>
          <w:rStyle w:val="Strong"/>
          <w:b w:val="0"/>
        </w:rPr>
        <w:t>.  AstraZ</w:t>
      </w:r>
      <w:r w:rsidR="00FD5091">
        <w:rPr>
          <w:rStyle w:val="Strong"/>
          <w:b w:val="0"/>
        </w:rPr>
        <w:t xml:space="preserve">eneca will be guided by the </w:t>
      </w:r>
      <w:proofErr w:type="spellStart"/>
      <w:r w:rsidR="00FF0209">
        <w:rPr>
          <w:rStyle w:val="Strong"/>
          <w:b w:val="0"/>
        </w:rPr>
        <w:t>DoH</w:t>
      </w:r>
      <w:proofErr w:type="spellEnd"/>
      <w:r w:rsidR="00FD5091">
        <w:rPr>
          <w:rStyle w:val="Strong"/>
          <w:b w:val="0"/>
        </w:rPr>
        <w:t xml:space="preserve"> and </w:t>
      </w:r>
      <w:r w:rsidR="00BE7232">
        <w:rPr>
          <w:rStyle w:val="Strong"/>
          <w:b w:val="0"/>
        </w:rPr>
        <w:t>MSAC to assess whether an amendment to the existing MBS item or new MBS item is required.</w:t>
      </w:r>
    </w:p>
    <w:p w14:paraId="5FBB0171" w14:textId="77777777" w:rsidR="00534C5F" w:rsidRPr="007E39E4" w:rsidRDefault="000770BA" w:rsidP="007F3F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4333FBE" w14:textId="77777777" w:rsidR="006B6390" w:rsidRPr="00AA2CFE" w:rsidRDefault="006B6390" w:rsidP="007F3FC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F14C5">
        <w:rPr>
          <w:b/>
          <w:szCs w:val="20"/>
        </w:rPr>
      </w:r>
      <w:r w:rsidR="001F14C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D2120E2" w14:textId="77777777" w:rsidR="006B6390" w:rsidRPr="00AA2CFE" w:rsidRDefault="0093159A" w:rsidP="007F3FCD">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F14C5">
        <w:rPr>
          <w:b/>
          <w:szCs w:val="20"/>
        </w:rPr>
      </w:r>
      <w:r w:rsidR="001F14C5">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AF7552B" w14:textId="77777777" w:rsidR="006B6390" w:rsidRPr="00AA2CFE" w:rsidRDefault="006B6390" w:rsidP="007F3FCD">
      <w:pPr>
        <w:pStyle w:val="ListParagraph"/>
        <w:numPr>
          <w:ilvl w:val="0"/>
          <w:numId w:val="14"/>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1F14C5">
        <w:rPr>
          <w:b/>
          <w:szCs w:val="20"/>
        </w:rPr>
      </w:r>
      <w:r w:rsidR="001F14C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D8B2F02" w14:textId="77777777" w:rsidR="006B6390" w:rsidRPr="00AA2CFE" w:rsidRDefault="006B6390" w:rsidP="007F3FC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F14C5">
        <w:rPr>
          <w:b/>
          <w:szCs w:val="20"/>
        </w:rPr>
      </w:r>
      <w:r w:rsidR="001F14C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F973824" w14:textId="77777777" w:rsidR="003027BB" w:rsidRPr="007E39E4" w:rsidRDefault="00F30C22" w:rsidP="007F3F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751A3CF"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sidRPr="000A5B32">
        <w:rPr>
          <w:szCs w:val="20"/>
        </w:rPr>
        <w:t xml:space="preserve"> Yes</w:t>
      </w:r>
    </w:p>
    <w:p w14:paraId="0205F0CE" w14:textId="77777777" w:rsidR="00626365" w:rsidRDefault="0093159A"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0A5B32" w:rsidRPr="000A5B32">
        <w:rPr>
          <w:szCs w:val="20"/>
        </w:rPr>
        <w:t xml:space="preserve"> No</w:t>
      </w:r>
    </w:p>
    <w:p w14:paraId="38F3AF95" w14:textId="77777777" w:rsidR="0093159A" w:rsidRDefault="0093159A" w:rsidP="00626365">
      <w:pPr>
        <w:spacing w:before="0" w:after="0"/>
        <w:ind w:left="284"/>
        <w:rPr>
          <w:szCs w:val="20"/>
        </w:rPr>
      </w:pPr>
    </w:p>
    <w:p w14:paraId="159AACEC" w14:textId="43884CF2" w:rsidR="00626365" w:rsidRDefault="0093159A" w:rsidP="000A4D73">
      <w:pPr>
        <w:spacing w:before="0" w:after="0"/>
        <w:ind w:left="360"/>
        <w:jc w:val="both"/>
        <w:rPr>
          <w:szCs w:val="20"/>
        </w:rPr>
      </w:pPr>
      <w:r>
        <w:rPr>
          <w:rStyle w:val="Strong"/>
          <w:rFonts w:asciiTheme="minorHAnsi" w:eastAsiaTheme="minorHAnsi" w:hAnsiTheme="minorHAnsi" w:cstheme="minorBidi"/>
          <w:b w:val="0"/>
          <w:szCs w:val="20"/>
        </w:rPr>
        <w:t>No other source of funding for g</w:t>
      </w:r>
      <w:r w:rsidR="00FD5091">
        <w:rPr>
          <w:rStyle w:val="Strong"/>
          <w:rFonts w:asciiTheme="minorHAnsi" w:eastAsiaTheme="minorHAnsi" w:hAnsiTheme="minorHAnsi" w:cstheme="minorBidi"/>
          <w:b w:val="0"/>
          <w:szCs w:val="20"/>
        </w:rPr>
        <w:t xml:space="preserve">ermline </w:t>
      </w:r>
      <w:r w:rsidRPr="00A07EDD">
        <w:rPr>
          <w:rStyle w:val="Strong"/>
          <w:rFonts w:asciiTheme="minorHAnsi" w:eastAsiaTheme="minorHAnsi" w:hAnsiTheme="minorHAnsi" w:cstheme="minorBidi"/>
          <w:b w:val="0"/>
          <w:i/>
          <w:szCs w:val="20"/>
        </w:rPr>
        <w:t>BRCA</w:t>
      </w:r>
      <w:r w:rsidR="00FD5091" w:rsidRPr="00A07EDD">
        <w:rPr>
          <w:rStyle w:val="Strong"/>
          <w:rFonts w:asciiTheme="minorHAnsi" w:eastAsiaTheme="minorHAnsi" w:hAnsiTheme="minorHAnsi" w:cstheme="minorBidi"/>
          <w:b w:val="0"/>
          <w:i/>
          <w:szCs w:val="20"/>
        </w:rPr>
        <w:t xml:space="preserve"> </w:t>
      </w:r>
      <w:r>
        <w:rPr>
          <w:rStyle w:val="Strong"/>
          <w:rFonts w:asciiTheme="minorHAnsi" w:eastAsiaTheme="minorHAnsi" w:hAnsiTheme="minorHAnsi" w:cstheme="minorBidi"/>
          <w:b w:val="0"/>
          <w:szCs w:val="20"/>
        </w:rPr>
        <w:t>m</w:t>
      </w:r>
      <w:r w:rsidR="00FD5091">
        <w:rPr>
          <w:rStyle w:val="Strong"/>
          <w:rFonts w:asciiTheme="minorHAnsi" w:eastAsiaTheme="minorHAnsi" w:hAnsiTheme="minorHAnsi" w:cstheme="minorBidi"/>
          <w:b w:val="0"/>
          <w:szCs w:val="20"/>
        </w:rPr>
        <w:t>utation</w:t>
      </w:r>
      <w:r>
        <w:rPr>
          <w:rStyle w:val="Strong"/>
          <w:rFonts w:asciiTheme="minorHAnsi" w:eastAsiaTheme="minorHAnsi" w:hAnsiTheme="minorHAnsi" w:cstheme="minorBidi"/>
          <w:b w:val="0"/>
          <w:szCs w:val="20"/>
        </w:rPr>
        <w:t xml:space="preserve"> testing other than the MBS is sought, however in this co-dependent submission public funding for PBS access to </w:t>
      </w:r>
      <w:proofErr w:type="spellStart"/>
      <w:r>
        <w:rPr>
          <w:rStyle w:val="Strong"/>
          <w:rFonts w:asciiTheme="minorHAnsi" w:eastAsiaTheme="minorHAnsi" w:hAnsiTheme="minorHAnsi" w:cstheme="minorBidi"/>
          <w:b w:val="0"/>
          <w:szCs w:val="20"/>
        </w:rPr>
        <w:t>olaparib</w:t>
      </w:r>
      <w:proofErr w:type="spellEnd"/>
      <w:r>
        <w:rPr>
          <w:rStyle w:val="Strong"/>
          <w:rFonts w:asciiTheme="minorHAnsi" w:eastAsiaTheme="minorHAnsi" w:hAnsiTheme="minorHAnsi" w:cstheme="minorBidi"/>
          <w:b w:val="0"/>
          <w:szCs w:val="20"/>
        </w:rPr>
        <w:t xml:space="preserve"> is </w:t>
      </w:r>
      <w:r w:rsidR="00495216">
        <w:rPr>
          <w:rStyle w:val="Strong"/>
          <w:rFonts w:asciiTheme="minorHAnsi" w:eastAsiaTheme="minorHAnsi" w:hAnsiTheme="minorHAnsi" w:cstheme="minorBidi"/>
          <w:b w:val="0"/>
          <w:szCs w:val="20"/>
        </w:rPr>
        <w:t xml:space="preserve">also </w:t>
      </w:r>
      <w:r>
        <w:rPr>
          <w:rStyle w:val="Strong"/>
          <w:rFonts w:asciiTheme="minorHAnsi" w:eastAsiaTheme="minorHAnsi" w:hAnsiTheme="minorHAnsi" w:cstheme="minorBidi"/>
          <w:b w:val="0"/>
          <w:szCs w:val="20"/>
        </w:rPr>
        <w:t>being sought.</w:t>
      </w:r>
    </w:p>
    <w:p w14:paraId="69E88BEF"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194D447E" w14:textId="77777777" w:rsidR="003027BB" w:rsidRPr="007E39E4" w:rsidRDefault="003027BB" w:rsidP="007F3F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r w:rsidR="00FD5091">
        <w:rPr>
          <w:rStyle w:val="Strong"/>
          <w:rFonts w:asciiTheme="minorHAnsi" w:eastAsiaTheme="minorHAnsi" w:hAnsiTheme="minorHAnsi" w:cstheme="minorBidi"/>
          <w:b/>
        </w:rPr>
        <w:t xml:space="preserve"> </w:t>
      </w:r>
      <w:r w:rsidR="00FD5091" w:rsidRPr="00FD5091">
        <w:rPr>
          <w:rStyle w:val="Strong"/>
          <w:rFonts w:asciiTheme="minorHAnsi" w:eastAsiaTheme="minorHAnsi" w:hAnsiTheme="minorHAnsi" w:cstheme="minorBidi"/>
        </w:rPr>
        <w:t>Not applicable</w:t>
      </w:r>
    </w:p>
    <w:p w14:paraId="44494222"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497ADA35" w14:textId="77777777" w:rsidR="000B3CD0" w:rsidRDefault="000B3CD0" w:rsidP="00730C04">
      <w:pPr>
        <w:pStyle w:val="Heading2"/>
      </w:pPr>
      <w:r w:rsidRPr="00154B00">
        <w:t>What is the type of service:</w:t>
      </w:r>
    </w:p>
    <w:p w14:paraId="0912048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Therapeutic medical service</w:t>
      </w:r>
    </w:p>
    <w:p w14:paraId="1343E69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Investigative medical service</w:t>
      </w:r>
    </w:p>
    <w:p w14:paraId="2EF1EFE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Single consultation medical service</w:t>
      </w:r>
    </w:p>
    <w:p w14:paraId="128CF12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Global consultation medical service</w:t>
      </w:r>
    </w:p>
    <w:p w14:paraId="440BE0D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Allied health service</w:t>
      </w:r>
    </w:p>
    <w:p w14:paraId="16BCC3F7" w14:textId="77777777" w:rsidR="00A6594E" w:rsidRDefault="0093159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F14C5">
        <w:rPr>
          <w:b/>
          <w:szCs w:val="20"/>
        </w:rPr>
      </w:r>
      <w:r w:rsidR="001F14C5">
        <w:rPr>
          <w:b/>
          <w:szCs w:val="20"/>
        </w:rPr>
        <w:fldChar w:fldCharType="separate"/>
      </w:r>
      <w:r>
        <w:rPr>
          <w:b/>
          <w:szCs w:val="20"/>
        </w:rPr>
        <w:fldChar w:fldCharType="end"/>
      </w:r>
      <w:r w:rsidR="00A6594E" w:rsidRPr="0027105F">
        <w:rPr>
          <w:b/>
          <w:szCs w:val="20"/>
        </w:rPr>
        <w:t xml:space="preserve"> </w:t>
      </w:r>
      <w:r w:rsidR="00A6594E">
        <w:t>Co-dependent technology</w:t>
      </w:r>
    </w:p>
    <w:p w14:paraId="62B68EE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Hybrid health technology</w:t>
      </w:r>
    </w:p>
    <w:p w14:paraId="109437C4" w14:textId="77777777" w:rsidR="00124B00" w:rsidRPr="00A6594E" w:rsidRDefault="00124B00" w:rsidP="00A6491A">
      <w:pPr>
        <w:spacing w:before="0" w:after="0"/>
        <w:ind w:left="284"/>
      </w:pPr>
    </w:p>
    <w:p w14:paraId="212C0E81"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2353C76" w14:textId="77777777" w:rsidR="00A6594E"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F14C5">
        <w:rPr>
          <w:b/>
          <w:szCs w:val="20"/>
        </w:rPr>
      </w:r>
      <w:r w:rsidR="001F14C5">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F5D4D4A" w14:textId="77777777" w:rsidR="00A6594E"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F14C5">
        <w:rPr>
          <w:b/>
          <w:szCs w:val="20"/>
        </w:rPr>
      </w:r>
      <w:r w:rsidR="001F14C5">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796AE23A" w14:textId="77777777" w:rsidR="00A6594E"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F14C5">
        <w:rPr>
          <w:b/>
          <w:szCs w:val="20"/>
        </w:rPr>
      </w:r>
      <w:r w:rsidR="001F14C5">
        <w:rPr>
          <w:b/>
          <w:szCs w:val="20"/>
        </w:rPr>
        <w:fldChar w:fldCharType="separate"/>
      </w:r>
      <w:r w:rsidRPr="00AF4466">
        <w:rPr>
          <w:b/>
          <w:szCs w:val="20"/>
        </w:rPr>
        <w:fldChar w:fldCharType="end"/>
      </w:r>
      <w:r w:rsidRPr="00AF4466">
        <w:rPr>
          <w:b/>
          <w:szCs w:val="20"/>
        </w:rPr>
        <w:t xml:space="preserve"> </w:t>
      </w:r>
      <w:r>
        <w:t>Provides information about prognosis</w:t>
      </w:r>
    </w:p>
    <w:p w14:paraId="1475BCD1" w14:textId="77777777" w:rsidR="00A6594E" w:rsidRDefault="0094346E" w:rsidP="007F3FCD">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1F14C5">
        <w:rPr>
          <w:b/>
          <w:szCs w:val="20"/>
        </w:rPr>
      </w:r>
      <w:r w:rsidR="001F14C5">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03D94737" w14:textId="77777777" w:rsidR="00F63A62"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F14C5">
        <w:rPr>
          <w:b/>
          <w:szCs w:val="20"/>
        </w:rPr>
      </w:r>
      <w:r w:rsidR="001F14C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18DBFAE" w14:textId="77777777" w:rsidR="002A40AE" w:rsidRDefault="00F63A62" w:rsidP="002F55EF">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F14C5">
        <w:rPr>
          <w:b/>
          <w:szCs w:val="20"/>
        </w:rPr>
      </w:r>
      <w:r w:rsidR="001F14C5">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75FF409D"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C5EAF09" w14:textId="77777777" w:rsidR="00FE16C1" w:rsidRDefault="0094346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F14C5">
        <w:rPr>
          <w:b/>
          <w:szCs w:val="20"/>
        </w:rPr>
      </w:r>
      <w:r w:rsidR="001F14C5">
        <w:rPr>
          <w:b/>
          <w:szCs w:val="20"/>
        </w:rPr>
        <w:fldChar w:fldCharType="separate"/>
      </w:r>
      <w:r>
        <w:rPr>
          <w:b/>
          <w:szCs w:val="20"/>
        </w:rPr>
        <w:fldChar w:fldCharType="end"/>
      </w:r>
      <w:r w:rsidR="00FE16C1" w:rsidRPr="0027105F">
        <w:rPr>
          <w:b/>
          <w:szCs w:val="20"/>
        </w:rPr>
        <w:t xml:space="preserve"> </w:t>
      </w:r>
      <w:r w:rsidR="00FE16C1">
        <w:t>Pharmaceutical / Biological</w:t>
      </w:r>
    </w:p>
    <w:p w14:paraId="376DCA9B"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Prosthesis or device</w:t>
      </w:r>
    </w:p>
    <w:p w14:paraId="0A026A16"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F14C5">
        <w:rPr>
          <w:b/>
          <w:szCs w:val="20"/>
        </w:rPr>
      </w:r>
      <w:r w:rsidR="001F14C5">
        <w:rPr>
          <w:b/>
          <w:szCs w:val="20"/>
        </w:rPr>
        <w:fldChar w:fldCharType="separate"/>
      </w:r>
      <w:r w:rsidRPr="0027105F">
        <w:rPr>
          <w:b/>
          <w:szCs w:val="20"/>
        </w:rPr>
        <w:fldChar w:fldCharType="end"/>
      </w:r>
      <w:r w:rsidRPr="0027105F">
        <w:rPr>
          <w:b/>
          <w:szCs w:val="20"/>
        </w:rPr>
        <w:t xml:space="preserve"> </w:t>
      </w:r>
      <w:r>
        <w:t>No</w:t>
      </w:r>
    </w:p>
    <w:p w14:paraId="19AC964D"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0D0EC651" w14:textId="533C9C2B" w:rsidR="00FE16C1" w:rsidRDefault="00872D5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FE16C1" w:rsidRPr="000A5B32">
        <w:rPr>
          <w:szCs w:val="20"/>
        </w:rPr>
        <w:t xml:space="preserve"> Yes</w:t>
      </w:r>
    </w:p>
    <w:p w14:paraId="0ADAC9B3" w14:textId="2401D0C9" w:rsidR="00FE16C1" w:rsidRPr="00FE16C1" w:rsidRDefault="00872D5E"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FE16C1">
        <w:rPr>
          <w:szCs w:val="20"/>
        </w:rPr>
        <w:t xml:space="preserve"> No  </w:t>
      </w:r>
    </w:p>
    <w:p w14:paraId="06789B51" w14:textId="6CCD32E6" w:rsidR="00EC127A" w:rsidRDefault="000E5439" w:rsidP="007F3FCD">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7269339" w14:textId="7F224A6C" w:rsidR="00C21091" w:rsidRPr="00C21091" w:rsidRDefault="00C21091" w:rsidP="00C21091">
      <w:r w:rsidRPr="00012290">
        <w:rPr>
          <w:rStyle w:val="Strong"/>
          <w:b w:val="0"/>
        </w:rPr>
        <w:t>MBS item # 73295</w:t>
      </w:r>
    </w:p>
    <w:p w14:paraId="67C09916" w14:textId="77777777" w:rsidR="00411735" w:rsidRPr="001E6958" w:rsidRDefault="00411735" w:rsidP="007F3FCD">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2BDD7E7"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8109CE0" w14:textId="77777777" w:rsidR="001E6919" w:rsidRDefault="0094346E"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1E6919">
        <w:rPr>
          <w:szCs w:val="20"/>
        </w:rPr>
        <w:t xml:space="preserve"> No</w:t>
      </w:r>
    </w:p>
    <w:p w14:paraId="205EFCB1" w14:textId="77777777" w:rsidR="00EE0817" w:rsidRDefault="00EE0817" w:rsidP="00E33D06">
      <w:pPr>
        <w:spacing w:before="0"/>
        <w:ind w:left="360"/>
        <w:jc w:val="both"/>
        <w:rPr>
          <w:szCs w:val="20"/>
        </w:rPr>
      </w:pPr>
      <w:r>
        <w:t>An integrated co-dependent submission to MSAC/PBAC is proposed for g</w:t>
      </w:r>
      <w:r w:rsidR="00BE7232">
        <w:t>ermline</w:t>
      </w:r>
      <w:r w:rsidR="00BE7232" w:rsidRPr="00DF5052">
        <w:rPr>
          <w:i/>
        </w:rPr>
        <w:t xml:space="preserve"> </w:t>
      </w:r>
      <w:r w:rsidRPr="00DF5052">
        <w:rPr>
          <w:i/>
        </w:rPr>
        <w:t>BRCA</w:t>
      </w:r>
      <w:r w:rsidR="00BE7232">
        <w:t xml:space="preserve"> </w:t>
      </w:r>
      <w:r>
        <w:t>m</w:t>
      </w:r>
      <w:r w:rsidR="00BE7232">
        <w:t>utation</w:t>
      </w:r>
      <w:r>
        <w:t xml:space="preserve"> testing to determine PBS access to </w:t>
      </w:r>
      <w:proofErr w:type="spellStart"/>
      <w:r>
        <w:t>olaparib</w:t>
      </w:r>
      <w:proofErr w:type="spellEnd"/>
      <w:r>
        <w:t>.</w:t>
      </w:r>
    </w:p>
    <w:p w14:paraId="7710D86E" w14:textId="77777777" w:rsidR="000E5439" w:rsidRDefault="000E5439" w:rsidP="007F3FCD">
      <w:pPr>
        <w:pStyle w:val="Heading2"/>
        <w:numPr>
          <w:ilvl w:val="0"/>
          <w:numId w:val="4"/>
        </w:numPr>
      </w:pPr>
      <w:r w:rsidRPr="007E39E4">
        <w:lastRenderedPageBreak/>
        <w:t>If you are seeking both MBS and PBS listing</w:t>
      </w:r>
      <w:r w:rsidR="00B75965" w:rsidRPr="007E39E4">
        <w:t>, what is the trade name and generic name of the pharmaceutical?</w:t>
      </w:r>
    </w:p>
    <w:p w14:paraId="5C4BF4C3" w14:textId="77777777" w:rsidR="001E6958" w:rsidRDefault="001E6958" w:rsidP="00E33D06">
      <w:pPr>
        <w:spacing w:before="0" w:after="0"/>
        <w:ind w:left="360"/>
      </w:pPr>
      <w:r>
        <w:t xml:space="preserve">Trade name: </w:t>
      </w:r>
      <w:r w:rsidR="00EE0817">
        <w:t>LYNPARZA®</w:t>
      </w:r>
    </w:p>
    <w:p w14:paraId="68F9BFF8" w14:textId="77777777" w:rsidR="001E6958" w:rsidRPr="001E6958" w:rsidRDefault="001E6958" w:rsidP="00E33D06">
      <w:pPr>
        <w:spacing w:before="0" w:after="0"/>
        <w:ind w:left="360"/>
      </w:pPr>
      <w:r>
        <w:t xml:space="preserve">Generic name: </w:t>
      </w:r>
      <w:proofErr w:type="spellStart"/>
      <w:r w:rsidR="00EE0817">
        <w:t>olaparib</w:t>
      </w:r>
      <w:proofErr w:type="spellEnd"/>
    </w:p>
    <w:p w14:paraId="504672D8"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r w:rsidR="00EE0817">
        <w:t xml:space="preserve"> </w:t>
      </w:r>
      <w:r w:rsidR="00EE0817" w:rsidRPr="00685B66">
        <w:rPr>
          <w:b w:val="0"/>
        </w:rPr>
        <w:t>Not applicable</w:t>
      </w:r>
    </w:p>
    <w:p w14:paraId="39B0BBEF"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sidRPr="000A5B32">
        <w:rPr>
          <w:szCs w:val="20"/>
        </w:rPr>
        <w:t xml:space="preserve"> Yes</w:t>
      </w:r>
    </w:p>
    <w:p w14:paraId="7F5AC681" w14:textId="1E451CFC" w:rsidR="001E6919" w:rsidRPr="001E6958" w:rsidRDefault="00EE0817" w:rsidP="000A4D73">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1E6958">
        <w:rPr>
          <w:szCs w:val="20"/>
        </w:rPr>
        <w:t xml:space="preserve"> No  </w:t>
      </w:r>
    </w:p>
    <w:p w14:paraId="587E447D" w14:textId="77777777" w:rsidR="00B75965" w:rsidRDefault="00B75965" w:rsidP="007F3FCD">
      <w:pPr>
        <w:pStyle w:val="Heading2"/>
        <w:numPr>
          <w:ilvl w:val="0"/>
          <w:numId w:val="5"/>
        </w:numPr>
      </w:pPr>
      <w:r w:rsidRPr="001E6958">
        <w:t xml:space="preserve">If yes, </w:t>
      </w:r>
      <w:r w:rsidR="00C73B62" w:rsidRPr="001E6958">
        <w:t xml:space="preserve">please provide the following information (where relevant): </w:t>
      </w:r>
      <w:r w:rsidR="0056740B" w:rsidRPr="0056740B">
        <w:rPr>
          <w:b w:val="0"/>
        </w:rPr>
        <w:t>Not applicable</w:t>
      </w:r>
    </w:p>
    <w:p w14:paraId="7F165289"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16695DE3"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63439AB7"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339342BC"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3374017C" w14:textId="77777777" w:rsidR="009939DC" w:rsidRDefault="009939DC" w:rsidP="009939DC"/>
    <w:p w14:paraId="0469CE10" w14:textId="77777777" w:rsidR="00411735" w:rsidRDefault="00411735" w:rsidP="007F3FCD">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685B66">
        <w:t xml:space="preserve"> </w:t>
      </w:r>
      <w:r w:rsidR="00685B66" w:rsidRPr="00685B66">
        <w:rPr>
          <w:b w:val="0"/>
        </w:rPr>
        <w:t>Not applicable</w:t>
      </w:r>
    </w:p>
    <w:p w14:paraId="6A12F16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sidRPr="000A5B32">
        <w:rPr>
          <w:szCs w:val="20"/>
        </w:rPr>
        <w:t xml:space="preserve"> Yes</w:t>
      </w:r>
    </w:p>
    <w:p w14:paraId="73C337EE"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No  </w:t>
      </w:r>
    </w:p>
    <w:p w14:paraId="2345A4EB" w14:textId="77777777" w:rsidR="00016B6E" w:rsidRPr="00006698" w:rsidRDefault="00016B6E" w:rsidP="007F3FCD">
      <w:pPr>
        <w:pStyle w:val="Heading2"/>
        <w:numPr>
          <w:ilvl w:val="0"/>
          <w:numId w:val="5"/>
        </w:numPr>
      </w:pPr>
      <w:r w:rsidRPr="00006698">
        <w:t>Are there any other sponsor(s) and / or manufacturer(</w:t>
      </w:r>
      <w:r w:rsidR="008B729C" w:rsidRPr="00006698">
        <w:t>s) that have a similar prosthesi</w:t>
      </w:r>
      <w:r w:rsidRPr="00006698">
        <w:t>s or device component in the Australian market place which this application is relevant to?</w:t>
      </w:r>
      <w:r w:rsidR="006742C3" w:rsidRPr="00006698">
        <w:t xml:space="preserve"> </w:t>
      </w:r>
      <w:r w:rsidR="006742C3" w:rsidRPr="00554257">
        <w:rPr>
          <w:b w:val="0"/>
        </w:rPr>
        <w:t>Not applicable</w:t>
      </w:r>
    </w:p>
    <w:p w14:paraId="41D47DCC" w14:textId="77777777" w:rsidR="009939DC" w:rsidRDefault="00727DBF"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9939DC" w:rsidRPr="000A5B32">
        <w:rPr>
          <w:szCs w:val="20"/>
        </w:rPr>
        <w:t xml:space="preserve"> Yes</w:t>
      </w:r>
    </w:p>
    <w:p w14:paraId="0FEADE51" w14:textId="1320BD21" w:rsid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No</w:t>
      </w:r>
    </w:p>
    <w:p w14:paraId="405F8FC9" w14:textId="77777777" w:rsidR="0055531C" w:rsidRDefault="0055531C" w:rsidP="00A6491A">
      <w:pPr>
        <w:spacing w:before="0" w:after="0"/>
        <w:ind w:left="284"/>
        <w:rPr>
          <w:szCs w:val="20"/>
        </w:rPr>
      </w:pPr>
    </w:p>
    <w:p w14:paraId="2D1BDB00" w14:textId="77777777" w:rsidR="009939DC" w:rsidRDefault="00016B6E" w:rsidP="007F3FCD">
      <w:pPr>
        <w:pStyle w:val="Heading2"/>
        <w:numPr>
          <w:ilvl w:val="0"/>
          <w:numId w:val="5"/>
        </w:numPr>
      </w:pPr>
      <w:r w:rsidRPr="009939DC">
        <w:t>If yes, please provide the name(s) of the spon</w:t>
      </w:r>
      <w:r w:rsidR="009939DC">
        <w:t>sor(s) and / or manufacturer(s):</w:t>
      </w:r>
      <w:r w:rsidR="0056740B">
        <w:t xml:space="preserve"> </w:t>
      </w:r>
      <w:r w:rsidR="0056740B" w:rsidRPr="0056740B">
        <w:rPr>
          <w:b w:val="0"/>
        </w:rPr>
        <w:t>Not applicable</w:t>
      </w:r>
    </w:p>
    <w:p w14:paraId="20AD65B2"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37231736" w14:textId="77777777" w:rsidR="0084657B" w:rsidRPr="00554257" w:rsidRDefault="00A9062D" w:rsidP="00530204">
      <w:pPr>
        <w:pStyle w:val="Heading2"/>
        <w:rPr>
          <w:b w:val="0"/>
        </w:rPr>
      </w:pPr>
      <w:r w:rsidRPr="00554257">
        <w:t>P</w:t>
      </w:r>
      <w:r w:rsidR="0084657B" w:rsidRPr="00554257">
        <w:t xml:space="preserve">lease identify </w:t>
      </w:r>
      <w:r w:rsidR="00E8649B" w:rsidRPr="00554257">
        <w:t xml:space="preserve">any single </w:t>
      </w:r>
      <w:r w:rsidR="00016B6E" w:rsidRPr="00554257">
        <w:t>and / or multi-</w:t>
      </w:r>
      <w:r w:rsidR="00E8649B" w:rsidRPr="00554257">
        <w:t>use consumables</w:t>
      </w:r>
      <w:r w:rsidR="0084657B" w:rsidRPr="00554257">
        <w:t xml:space="preserve"> </w:t>
      </w:r>
      <w:r w:rsidR="00E8649B" w:rsidRPr="00554257">
        <w:t>delivered as part of the service?</w:t>
      </w:r>
      <w:r w:rsidR="00006698" w:rsidRPr="00554257">
        <w:t xml:space="preserve"> </w:t>
      </w:r>
    </w:p>
    <w:p w14:paraId="583E3946" w14:textId="77777777" w:rsidR="00554257" w:rsidRDefault="009939DC" w:rsidP="00E33D06">
      <w:pPr>
        <w:spacing w:before="0" w:after="0"/>
        <w:ind w:left="360"/>
      </w:pPr>
      <w:r>
        <w:t xml:space="preserve">Single use consumables: </w:t>
      </w:r>
      <w:r w:rsidR="00554257">
        <w:t>Peripheral blood sample collected in a single use syringe</w:t>
      </w:r>
    </w:p>
    <w:p w14:paraId="66281748" w14:textId="77777777" w:rsidR="00F301F1" w:rsidRPr="00855944" w:rsidRDefault="009939DC" w:rsidP="00E33D06">
      <w:pPr>
        <w:spacing w:before="0" w:after="0"/>
        <w:ind w:left="360"/>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14:paraId="2B1211BB"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6F3EEDF9" w14:textId="77777777" w:rsidR="00392AFE" w:rsidRPr="00806C75" w:rsidRDefault="0011369B" w:rsidP="00392AFE">
      <w:pPr>
        <w:pStyle w:val="Heading2"/>
      </w:pPr>
      <w:r>
        <w:t xml:space="preserve">(a) </w:t>
      </w:r>
      <w:r w:rsidR="0054594B" w:rsidRPr="00806C75">
        <w:t>If</w:t>
      </w:r>
      <w:r w:rsidR="00226777" w:rsidRPr="00806C75">
        <w:t xml:space="preserve"> the </w:t>
      </w:r>
      <w:r w:rsidR="001A1ADF" w:rsidRPr="00806C75">
        <w:t>p</w:t>
      </w:r>
      <w:r w:rsidR="00226777" w:rsidRPr="00806C75">
        <w:t>roposed medical service involve</w:t>
      </w:r>
      <w:r w:rsidR="009C03FB" w:rsidRPr="00806C75">
        <w:t>s</w:t>
      </w:r>
      <w:r w:rsidR="001A1ADF" w:rsidRPr="00806C75">
        <w:t xml:space="preserve"> the use of a medical device, in-vitro diagnostic test, </w:t>
      </w:r>
      <w:r w:rsidR="00226777" w:rsidRPr="00806C75">
        <w:t xml:space="preserve">pharmaceutical product, </w:t>
      </w:r>
      <w:r w:rsidR="001A1ADF" w:rsidRPr="00806C75">
        <w:t>radioactive tracer or any other type of therape</w:t>
      </w:r>
      <w:r w:rsidR="008127C0" w:rsidRPr="00806C75">
        <w:t xml:space="preserve">utic good, please </w:t>
      </w:r>
      <w:r w:rsidR="001A1ADF" w:rsidRPr="00806C75">
        <w:t xml:space="preserve">provide </w:t>
      </w:r>
      <w:r w:rsidR="008127C0" w:rsidRPr="00806C75">
        <w:t>the following details</w:t>
      </w:r>
      <w:r w:rsidR="001A1ADF" w:rsidRPr="00806C75">
        <w:t>:</w:t>
      </w:r>
      <w:r w:rsidR="00392AFE" w:rsidRPr="00806C75">
        <w:t xml:space="preserve"> </w:t>
      </w:r>
    </w:p>
    <w:p w14:paraId="5C3C6EC1" w14:textId="48213059" w:rsidR="004B2357" w:rsidRDefault="004B2357" w:rsidP="00E33D06">
      <w:pPr>
        <w:spacing w:before="0" w:after="0"/>
        <w:ind w:left="360"/>
        <w:jc w:val="both"/>
      </w:pPr>
      <w:r>
        <w:t xml:space="preserve">The </w:t>
      </w:r>
      <w:r w:rsidR="005C3C74">
        <w:t>proposed me</w:t>
      </w:r>
      <w:r>
        <w:t>dical service</w:t>
      </w:r>
      <w:r w:rsidR="00DF5052">
        <w:t>,</w:t>
      </w:r>
      <w:r w:rsidR="00B74CC4">
        <w:t xml:space="preserve"> germline </w:t>
      </w:r>
      <w:r w:rsidR="00B74CC4" w:rsidRPr="009E40AF">
        <w:rPr>
          <w:i/>
        </w:rPr>
        <w:t xml:space="preserve">BRCA </w:t>
      </w:r>
      <w:r w:rsidR="00B74CC4">
        <w:t>mutation testing</w:t>
      </w:r>
      <w:r w:rsidR="005C3C74">
        <w:t xml:space="preserve"> </w:t>
      </w:r>
      <w:r>
        <w:t>in this application is an es</w:t>
      </w:r>
      <w:r w:rsidR="009B5639">
        <w:t xml:space="preserve">tablished service and </w:t>
      </w:r>
      <w:r w:rsidR="00B74CC4">
        <w:t xml:space="preserve">there is no single sponsor for germline </w:t>
      </w:r>
      <w:proofErr w:type="spellStart"/>
      <w:r w:rsidR="00B74CC4" w:rsidRPr="005553EA">
        <w:rPr>
          <w:i/>
        </w:rPr>
        <w:t>BRCA</w:t>
      </w:r>
      <w:r w:rsidR="00B74CC4">
        <w:t>m</w:t>
      </w:r>
      <w:proofErr w:type="spellEnd"/>
      <w:r w:rsidR="00B74CC4">
        <w:t xml:space="preserve"> testing in Australia. </w:t>
      </w:r>
      <w:r w:rsidR="005C3C74">
        <w:t xml:space="preserve"> </w:t>
      </w:r>
      <w:r w:rsidR="00B74CC4">
        <w:t xml:space="preserve">At present, there are several different Australian molecular pathology service providers that offer </w:t>
      </w:r>
      <w:proofErr w:type="spellStart"/>
      <w:r w:rsidR="00B74CC4" w:rsidRPr="005553EA">
        <w:rPr>
          <w:i/>
        </w:rPr>
        <w:t>BRCA</w:t>
      </w:r>
      <w:r w:rsidR="00B74CC4">
        <w:t>m</w:t>
      </w:r>
      <w:proofErr w:type="spellEnd"/>
      <w:r w:rsidR="00B74CC4">
        <w:t xml:space="preserve"> testing on a commercial basis. </w:t>
      </w:r>
      <w:r w:rsidR="009B5639">
        <w:t xml:space="preserve">AstraZeneca has contacted a number of providers to obtain information about the methods that are used for </w:t>
      </w:r>
      <w:proofErr w:type="spellStart"/>
      <w:r w:rsidR="009B5639" w:rsidRPr="00DF5052">
        <w:rPr>
          <w:i/>
        </w:rPr>
        <w:t>BRCA</w:t>
      </w:r>
      <w:r w:rsidR="009B5639">
        <w:t>m</w:t>
      </w:r>
      <w:proofErr w:type="spellEnd"/>
      <w:r w:rsidR="009B5639">
        <w:t xml:space="preserve"> testing in current clinical practice.</w:t>
      </w:r>
      <w:r w:rsidR="005C3C74">
        <w:t xml:space="preserve">  </w:t>
      </w:r>
      <w:r w:rsidR="00006698">
        <w:t xml:space="preserve">The majority </w:t>
      </w:r>
      <w:r>
        <w:t xml:space="preserve">(90%) </w:t>
      </w:r>
      <w:r w:rsidR="00006698">
        <w:t>of labora</w:t>
      </w:r>
      <w:r>
        <w:t xml:space="preserve">tories </w:t>
      </w:r>
      <w:r w:rsidR="008D37A9">
        <w:t xml:space="preserve">are using </w:t>
      </w:r>
      <w:proofErr w:type="spellStart"/>
      <w:r w:rsidR="00006698">
        <w:t>MiSe</w:t>
      </w:r>
      <w:r>
        <w:t>q</w:t>
      </w:r>
      <w:proofErr w:type="spellEnd"/>
      <w:r>
        <w:t xml:space="preserve"> - NGS platform (Illumina). Other platforms in use are Ion Torrent - NGS platform (Life Te</w:t>
      </w:r>
      <w:r w:rsidR="009B5639">
        <w:t xml:space="preserve">chnologies – </w:t>
      </w:r>
      <w:proofErr w:type="spellStart"/>
      <w:r w:rsidR="009B5639">
        <w:t>Thermo</w:t>
      </w:r>
      <w:proofErr w:type="spellEnd"/>
      <w:r w:rsidR="009B5639">
        <w:t xml:space="preserve"> Fisher) </w:t>
      </w:r>
      <w:r>
        <w:t xml:space="preserve">and Applied </w:t>
      </w:r>
      <w:proofErr w:type="spellStart"/>
      <w:r>
        <w:t>biosystems</w:t>
      </w:r>
      <w:proofErr w:type="spellEnd"/>
      <w:r>
        <w:t xml:space="preserve"> – Sanger Sequencing (Life</w:t>
      </w:r>
      <w:r w:rsidR="009B5639">
        <w:t xml:space="preserve"> Technologies – </w:t>
      </w:r>
      <w:proofErr w:type="spellStart"/>
      <w:r w:rsidR="009B5639">
        <w:t>Thermo</w:t>
      </w:r>
      <w:proofErr w:type="spellEnd"/>
      <w:r w:rsidR="009B5639">
        <w:t xml:space="preserve"> Fisher).</w:t>
      </w:r>
    </w:p>
    <w:p w14:paraId="1571C15A" w14:textId="77777777" w:rsidR="009B5639" w:rsidRDefault="009B5639" w:rsidP="00E33D06">
      <w:pPr>
        <w:ind w:left="360"/>
        <w:jc w:val="both"/>
      </w:pPr>
      <w:r>
        <w:t xml:space="preserve">All molecular pathology service providers that currently perform germline </w:t>
      </w:r>
      <w:proofErr w:type="spellStart"/>
      <w:r w:rsidRPr="005553EA">
        <w:rPr>
          <w:i/>
        </w:rPr>
        <w:t>BRCA</w:t>
      </w:r>
      <w:r>
        <w:t>m</w:t>
      </w:r>
      <w:proofErr w:type="spellEnd"/>
      <w:r>
        <w:t xml:space="preserve"> testing services in Australia use in-house developed testing methods (as opposed to commercial test kits). Under the 2010 TGA regulatory framework, </w:t>
      </w:r>
      <w:proofErr w:type="spellStart"/>
      <w:r w:rsidRPr="005553EA">
        <w:rPr>
          <w:i/>
        </w:rPr>
        <w:t>BRCA</w:t>
      </w:r>
      <w:r>
        <w:t>m</w:t>
      </w:r>
      <w:proofErr w:type="spellEnd"/>
      <w:r>
        <w:t xml:space="preserve"> tests that are used to determine eligibility for </w:t>
      </w:r>
      <w:proofErr w:type="spellStart"/>
      <w:r>
        <w:t>olaparib</w:t>
      </w:r>
      <w:proofErr w:type="spellEnd"/>
      <w:r>
        <w:t xml:space="preserve"> are classified as in-house developed Class 3 in vitro diagnostic medical devices (IVDs)</w:t>
      </w:r>
      <w:r>
        <w:rPr>
          <w:rStyle w:val="FootnoteReference"/>
        </w:rPr>
        <w:footnoteReference w:id="12"/>
      </w:r>
      <w:r>
        <w:t xml:space="preserve">. Recent reforms to the TGA framework require laboratories that deal with Class 3 IVDs to provide the TGA with a declaration of conformity that the in-house IVDs comply with the essential principles and describe the 'kinds' of IVDs manufactured. It is understood that a transition period is in place until 30 June 2017.  </w:t>
      </w:r>
    </w:p>
    <w:p w14:paraId="48134800" w14:textId="35E5132F" w:rsidR="00006698" w:rsidRPr="0039090E" w:rsidRDefault="00863824" w:rsidP="00E33D06">
      <w:pPr>
        <w:autoSpaceDE w:val="0"/>
        <w:autoSpaceDN w:val="0"/>
        <w:adjustRightInd w:val="0"/>
        <w:spacing w:line="276" w:lineRule="auto"/>
        <w:ind w:left="360"/>
        <w:jc w:val="both"/>
        <w:rPr>
          <w:rFonts w:ascii="Arial" w:hAnsi="Arial" w:cs="Arial"/>
          <w:color w:val="1F497D" w:themeColor="text2"/>
        </w:rPr>
      </w:pPr>
      <w:r>
        <w:t>The</w:t>
      </w:r>
      <w:r w:rsidR="00BF3455" w:rsidRPr="0039090E">
        <w:t xml:space="preserve"> test methodology </w:t>
      </w:r>
      <w:r w:rsidR="006D203C">
        <w:t xml:space="preserve">proposed in this application </w:t>
      </w:r>
      <w:r w:rsidR="00F042B6">
        <w:t xml:space="preserve">remains unchanged to the methodology </w:t>
      </w:r>
      <w:r w:rsidR="00BF3455" w:rsidRPr="0039090E">
        <w:t>considered by MSAC in making its recommendation for the reimbursement of the test via MBS</w:t>
      </w:r>
      <w:r w:rsidR="0039090E">
        <w:t xml:space="preserve"> item #73295</w:t>
      </w:r>
      <w:r w:rsidR="00BF3455">
        <w:rPr>
          <w:rFonts w:ascii="Arial" w:hAnsi="Arial" w:cs="Arial"/>
          <w:color w:val="1F497D" w:themeColor="text2"/>
        </w:rPr>
        <w:t>.</w:t>
      </w:r>
    </w:p>
    <w:p w14:paraId="26BE0B95" w14:textId="77777777" w:rsidR="00A26343" w:rsidRPr="00A26343" w:rsidRDefault="00A26343" w:rsidP="00E33D06">
      <w:pPr>
        <w:spacing w:before="0" w:after="0"/>
        <w:ind w:left="360"/>
        <w:rPr>
          <w:szCs w:val="20"/>
        </w:rPr>
      </w:pPr>
      <w:r w:rsidRPr="00A26343">
        <w:rPr>
          <w:szCs w:val="20"/>
        </w:rPr>
        <w:t>Type of therapeutic good</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63CF15F7" w14:textId="77777777" w:rsidR="00A26343" w:rsidRPr="00A26343" w:rsidRDefault="00A26343" w:rsidP="00E33D06">
      <w:pPr>
        <w:spacing w:before="0" w:after="0"/>
        <w:ind w:left="360"/>
        <w:rPr>
          <w:szCs w:val="20"/>
        </w:rPr>
      </w:pPr>
      <w:r w:rsidRPr="00A26343">
        <w:rPr>
          <w:szCs w:val="20"/>
        </w:rPr>
        <w:t>Manufacturer’s name</w:t>
      </w:r>
      <w:r>
        <w:rPr>
          <w:szCs w:val="20"/>
        </w:rPr>
        <w:t xml:space="preserve">: </w:t>
      </w:r>
    </w:p>
    <w:p w14:paraId="1A8A7F79" w14:textId="77777777" w:rsidR="00A26343" w:rsidRDefault="00A26343" w:rsidP="00E33D06">
      <w:pPr>
        <w:spacing w:before="0" w:after="0"/>
        <w:ind w:left="360"/>
      </w:pPr>
      <w:r w:rsidRPr="00A26343">
        <w:rPr>
          <w:szCs w:val="20"/>
        </w:rPr>
        <w:t>Sponsor’s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4E48F729" w14:textId="77777777" w:rsidR="00C304F7" w:rsidRDefault="00C304F7" w:rsidP="004D31AB">
      <w:pPr>
        <w:spacing w:before="0" w:after="0"/>
        <w:ind w:left="360"/>
      </w:pPr>
    </w:p>
    <w:p w14:paraId="603EAE31" w14:textId="77777777" w:rsidR="00570FB1" w:rsidRPr="008D37A9" w:rsidRDefault="005E2CE3" w:rsidP="007F3FCD">
      <w:pPr>
        <w:pStyle w:val="Heading2"/>
        <w:numPr>
          <w:ilvl w:val="0"/>
          <w:numId w:val="6"/>
        </w:numPr>
      </w:pPr>
      <w:r w:rsidRPr="008D37A9">
        <w:t>Is the medical device classified by the TGA as either a Class III or Active Implantable Medical Device (AIMD) against the TGA regulatory scheme for devices?</w:t>
      </w:r>
    </w:p>
    <w:p w14:paraId="5FAD86E2" w14:textId="77777777" w:rsidR="00570FB1" w:rsidRPr="00570FB1" w:rsidRDefault="00570FB1" w:rsidP="00E33D06">
      <w:pPr>
        <w:ind w:left="360"/>
        <w:jc w:val="both"/>
      </w:pPr>
      <w:r w:rsidRPr="008D37A9">
        <w:t>The proposed medical service involves the use of an in-vitro diagnostic</w:t>
      </w:r>
      <w:r w:rsidRPr="00570FB1">
        <w:t xml:space="preserve"> test to detect </w:t>
      </w:r>
      <w:r w:rsidRPr="004D31AB">
        <w:rPr>
          <w:i/>
        </w:rPr>
        <w:t>BRCA</w:t>
      </w:r>
      <w:r w:rsidRPr="00570FB1">
        <w:t xml:space="preserve"> mutations in patients with </w:t>
      </w:r>
      <w:r>
        <w:t>advanced/metastatic</w:t>
      </w:r>
      <w:r w:rsidRPr="00570FB1">
        <w:t xml:space="preserve"> cancer, in order to determine eligi</w:t>
      </w:r>
      <w:r>
        <w:t xml:space="preserve">bility for </w:t>
      </w:r>
      <w:proofErr w:type="spellStart"/>
      <w:r>
        <w:t>olaparib</w:t>
      </w:r>
      <w:proofErr w:type="spellEnd"/>
      <w:r>
        <w:t xml:space="preserve"> </w:t>
      </w:r>
      <w:r w:rsidRPr="00570FB1">
        <w:t>t</w:t>
      </w:r>
      <w:r>
        <w:t xml:space="preserve">reatment. </w:t>
      </w:r>
      <w:r w:rsidRPr="00570FB1">
        <w:t xml:space="preserve"> Because this is a human genetic test intended to identify patients who may benefit from treatment with </w:t>
      </w:r>
      <w:proofErr w:type="spellStart"/>
      <w:r w:rsidRPr="00570FB1">
        <w:t>olap</w:t>
      </w:r>
      <w:r w:rsidR="007B1772">
        <w:t>arib</w:t>
      </w:r>
      <w:proofErr w:type="spellEnd"/>
      <w:r w:rsidR="007B1772">
        <w:t xml:space="preserve">, all manufactured and </w:t>
      </w:r>
      <w:r w:rsidRPr="00570FB1">
        <w:t xml:space="preserve">in-house laboratory tests that are intended for use in </w:t>
      </w:r>
      <w:r w:rsidRPr="001D5570">
        <w:rPr>
          <w:i/>
        </w:rPr>
        <w:t xml:space="preserve">BRCA </w:t>
      </w:r>
      <w:r w:rsidRPr="00570FB1">
        <w:t>mu</w:t>
      </w:r>
      <w:r w:rsidR="007B1772">
        <w:t xml:space="preserve">tation testing are </w:t>
      </w:r>
      <w:r w:rsidRPr="00570FB1">
        <w:t>classified as Class 3 in vitro diagnostic medical devices (IVDs)</w:t>
      </w:r>
      <w:r>
        <w:t>.</w:t>
      </w:r>
    </w:p>
    <w:p w14:paraId="1F1C7A53" w14:textId="77777777" w:rsidR="00615F42" w:rsidRPr="00615F42" w:rsidRDefault="00570FB1" w:rsidP="00E33D0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28D7D0C" w14:textId="77777777" w:rsidR="00615F42" w:rsidRPr="00615F42" w:rsidRDefault="00615F42" w:rsidP="00E33D06">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sidRPr="000A5B32">
        <w:rPr>
          <w:szCs w:val="20"/>
        </w:rPr>
        <w:t xml:space="preserve"> </w:t>
      </w:r>
      <w:r w:rsidRPr="00615F42">
        <w:rPr>
          <w:szCs w:val="20"/>
        </w:rPr>
        <w:t>AIMD</w:t>
      </w:r>
    </w:p>
    <w:p w14:paraId="2903065C" w14:textId="77777777" w:rsidR="005E2CE3" w:rsidRPr="00154B00" w:rsidRDefault="00615F42" w:rsidP="00E33D06">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sidRPr="000A5B32">
        <w:rPr>
          <w:szCs w:val="20"/>
        </w:rPr>
        <w:t xml:space="preserve"> </w:t>
      </w:r>
      <w:r w:rsidRPr="00615F42">
        <w:rPr>
          <w:szCs w:val="20"/>
        </w:rPr>
        <w:t>N/A</w:t>
      </w:r>
    </w:p>
    <w:p w14:paraId="7417B875" w14:textId="77777777" w:rsidR="003421AE" w:rsidRPr="005553EA" w:rsidRDefault="0011369B" w:rsidP="00530204">
      <w:pPr>
        <w:pStyle w:val="Heading2"/>
      </w:pPr>
      <w:r>
        <w:t xml:space="preserve">(a) </w:t>
      </w:r>
      <w:r w:rsidR="003421AE" w:rsidRPr="005553EA">
        <w:t xml:space="preserve">Is the therapeutic good to be used in the service exempt from the regulatory requirements of the </w:t>
      </w:r>
      <w:r w:rsidR="003421AE" w:rsidRPr="005553EA">
        <w:rPr>
          <w:i/>
        </w:rPr>
        <w:t>Therapeutic Goods Act 1989</w:t>
      </w:r>
      <w:r w:rsidR="003421AE" w:rsidRPr="005553EA">
        <w:t>?</w:t>
      </w:r>
      <w:r w:rsidR="008D37A9" w:rsidRPr="005553EA">
        <w:t xml:space="preserve">  </w:t>
      </w:r>
      <w:r w:rsidR="008D37A9" w:rsidRPr="005553EA">
        <w:rPr>
          <w:b w:val="0"/>
        </w:rPr>
        <w:t>Not applicable see response in # 14 above</w:t>
      </w:r>
      <w:r w:rsidR="008D37A9" w:rsidRPr="005553EA">
        <w:t xml:space="preserve"> </w:t>
      </w:r>
    </w:p>
    <w:p w14:paraId="4D0C53D1"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CF867BE" w14:textId="77777777" w:rsidR="003421AE" w:rsidRPr="00615F42" w:rsidRDefault="001D5570" w:rsidP="00A6491A">
      <w:pPr>
        <w:spacing w:before="0" w:after="0"/>
        <w:ind w:left="284"/>
        <w:rPr>
          <w:b/>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15F42">
        <w:rPr>
          <w:szCs w:val="20"/>
        </w:rPr>
        <w:t xml:space="preserve"> No</w:t>
      </w:r>
    </w:p>
    <w:p w14:paraId="10B0D6AB" w14:textId="77777777" w:rsidR="00D85676" w:rsidRPr="008D37A9" w:rsidRDefault="00D85676" w:rsidP="007F3FCD">
      <w:pPr>
        <w:pStyle w:val="Heading2"/>
        <w:numPr>
          <w:ilvl w:val="0"/>
          <w:numId w:val="7"/>
        </w:numPr>
      </w:pPr>
      <w:r w:rsidRPr="008D37A9">
        <w:t>If no, has it been listed or registered or included in the Australian Register of Therapeutic Goods (ARTG) by the Therapeutic Goods Administration (TGA</w:t>
      </w:r>
      <w:r w:rsidRPr="005553EA">
        <w:t>)</w:t>
      </w:r>
      <w:r w:rsidR="00403333" w:rsidRPr="005553EA">
        <w:t>?</w:t>
      </w:r>
      <w:r w:rsidR="00A011DD" w:rsidRPr="005553EA">
        <w:t xml:space="preserve"> </w:t>
      </w:r>
      <w:r w:rsidR="008D37A9" w:rsidRPr="005553EA">
        <w:rPr>
          <w:b w:val="0"/>
        </w:rPr>
        <w:t>Not applicable see response above</w:t>
      </w:r>
    </w:p>
    <w:p w14:paraId="6B280E4C" w14:textId="77777777" w:rsidR="0043654D" w:rsidRDefault="008D37A9"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43654D">
        <w:rPr>
          <w:szCs w:val="20"/>
        </w:rPr>
        <w:t xml:space="preserve"> Yes (if yes, please provide details below)</w:t>
      </w:r>
    </w:p>
    <w:p w14:paraId="7AB971F1"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No</w:t>
      </w:r>
    </w:p>
    <w:p w14:paraId="37551FF7" w14:textId="77777777" w:rsidR="0043654D" w:rsidRDefault="0043654D" w:rsidP="0043654D">
      <w:pPr>
        <w:spacing w:before="0" w:after="0"/>
        <w:ind w:left="284"/>
        <w:rPr>
          <w:b/>
          <w:szCs w:val="20"/>
        </w:rPr>
      </w:pPr>
    </w:p>
    <w:p w14:paraId="57B8127B" w14:textId="77777777" w:rsidR="0043654D" w:rsidRPr="0043654D" w:rsidRDefault="0043654D" w:rsidP="0043654D">
      <w:pPr>
        <w:spacing w:before="0" w:after="0"/>
        <w:ind w:left="284"/>
        <w:rPr>
          <w:szCs w:val="20"/>
        </w:rPr>
      </w:pPr>
      <w:r w:rsidRPr="0043654D">
        <w:rPr>
          <w:szCs w:val="20"/>
        </w:rPr>
        <w:lastRenderedPageBreak/>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14:paraId="4BA9EB06"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50AA2610" w14:textId="77777777" w:rsidR="00F301F1" w:rsidRDefault="0043654D" w:rsidP="0043654D">
      <w:pPr>
        <w:spacing w:before="0" w:after="0"/>
        <w:ind w:left="284"/>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2A830855" w14:textId="77777777" w:rsidR="00570FB1" w:rsidRPr="0043654D" w:rsidRDefault="00570FB1" w:rsidP="00E33D06">
      <w:pPr>
        <w:spacing w:before="0" w:after="0"/>
        <w:rPr>
          <w:szCs w:val="20"/>
        </w:rPr>
      </w:pPr>
    </w:p>
    <w:p w14:paraId="7FE37A85"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r w:rsidR="00DC0191">
        <w:t xml:space="preserve"> </w:t>
      </w:r>
      <w:r w:rsidR="00DC0191" w:rsidRPr="001D5570">
        <w:rPr>
          <w:b w:val="0"/>
        </w:rPr>
        <w:t>Not applicable</w:t>
      </w:r>
    </w:p>
    <w:p w14:paraId="54E031C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Yes (please provide details below)</w:t>
      </w:r>
    </w:p>
    <w:p w14:paraId="37E1B99E"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No</w:t>
      </w:r>
    </w:p>
    <w:p w14:paraId="699AA994" w14:textId="77777777" w:rsidR="0047581D" w:rsidRDefault="0047581D" w:rsidP="0047581D">
      <w:pPr>
        <w:spacing w:before="0" w:after="0"/>
        <w:rPr>
          <w:b/>
          <w:szCs w:val="20"/>
        </w:rPr>
      </w:pPr>
    </w:p>
    <w:p w14:paraId="6D688208" w14:textId="77777777" w:rsidR="0047581D" w:rsidRPr="0047581D" w:rsidRDefault="0047581D" w:rsidP="00E33D06">
      <w:pPr>
        <w:spacing w:before="0" w:after="0"/>
        <w:ind w:left="284"/>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5D5162FE" w14:textId="77777777" w:rsidR="0047581D" w:rsidRPr="0047581D" w:rsidRDefault="0047581D" w:rsidP="00E33D06">
      <w:pPr>
        <w:spacing w:before="0" w:after="0"/>
        <w:ind w:left="284"/>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164F8E4E" w14:textId="77777777" w:rsidR="0047581D" w:rsidRPr="0047581D" w:rsidRDefault="0047581D" w:rsidP="00E33D06">
      <w:pPr>
        <w:spacing w:before="0" w:after="0"/>
        <w:ind w:left="284"/>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05130C9F" w14:textId="77777777" w:rsidR="0047581D" w:rsidRPr="0047581D" w:rsidRDefault="0047581D" w:rsidP="00E33D06">
      <w:pPr>
        <w:spacing w:before="0" w:after="0"/>
        <w:ind w:left="284"/>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46D7F1C6" w14:textId="77777777" w:rsidR="003433D1" w:rsidRPr="0047581D" w:rsidRDefault="0047581D" w:rsidP="00E33D06">
      <w:pPr>
        <w:spacing w:before="0" w:after="0"/>
        <w:ind w:left="284"/>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656313B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r w:rsidR="00DC0191">
        <w:t xml:space="preserve"> </w:t>
      </w:r>
      <w:r w:rsidR="00DC0191" w:rsidRPr="001D5570">
        <w:rPr>
          <w:b w:val="0"/>
        </w:rPr>
        <w:t>Not applicable</w:t>
      </w:r>
    </w:p>
    <w:p w14:paraId="24F93F8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Yes (please provide details below)</w:t>
      </w:r>
    </w:p>
    <w:p w14:paraId="09081B22"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No</w:t>
      </w:r>
    </w:p>
    <w:p w14:paraId="17059416" w14:textId="77777777" w:rsidR="000A110D" w:rsidRDefault="000A110D" w:rsidP="00971EDB">
      <w:pPr>
        <w:spacing w:before="0" w:after="0"/>
        <w:rPr>
          <w:szCs w:val="20"/>
        </w:rPr>
      </w:pPr>
    </w:p>
    <w:p w14:paraId="4C0ED454" w14:textId="77777777" w:rsidR="00971EDB" w:rsidRPr="00971EDB" w:rsidRDefault="00971EDB" w:rsidP="00E33D06">
      <w:pPr>
        <w:spacing w:before="0" w:after="0"/>
        <w:ind w:left="284"/>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6FF4672A" w14:textId="77777777" w:rsidR="00971EDB" w:rsidRPr="00971EDB" w:rsidRDefault="00971EDB" w:rsidP="00E33D06">
      <w:pPr>
        <w:spacing w:before="0" w:after="0"/>
        <w:ind w:left="284"/>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0E26AF7F" w14:textId="77777777" w:rsidR="00971EDB" w:rsidRPr="00971EDB" w:rsidRDefault="00971EDB" w:rsidP="00E33D06">
      <w:pPr>
        <w:spacing w:before="0" w:after="0"/>
        <w:ind w:left="284"/>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7D274AB6" w14:textId="77777777" w:rsidR="00F83A9D" w:rsidRPr="00154B00" w:rsidRDefault="00F83A9D" w:rsidP="00F83A9D">
      <w:pPr>
        <w:rPr>
          <w:szCs w:val="20"/>
        </w:rPr>
      </w:pPr>
    </w:p>
    <w:p w14:paraId="676A356E"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7090ACFA" w14:textId="148B05D1"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7948E1DC"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348"/>
        <w:gridCol w:w="1134"/>
        <w:gridCol w:w="2211"/>
        <w:gridCol w:w="4947"/>
        <w:gridCol w:w="3232"/>
        <w:gridCol w:w="2302"/>
      </w:tblGrid>
      <w:tr w:rsidR="00BF695B" w14:paraId="6918C1F6" w14:textId="77777777" w:rsidTr="001A2BB3">
        <w:trPr>
          <w:cantSplit/>
          <w:tblHeader/>
        </w:trPr>
        <w:tc>
          <w:tcPr>
            <w:tcW w:w="123" w:type="pct"/>
          </w:tcPr>
          <w:p w14:paraId="7C0DBC9D" w14:textId="77777777" w:rsidR="00DD308E" w:rsidRDefault="00DD308E" w:rsidP="00855944">
            <w:pPr>
              <w:pStyle w:val="TableHEADER"/>
            </w:pPr>
          </w:p>
        </w:tc>
        <w:tc>
          <w:tcPr>
            <w:tcW w:w="400" w:type="pct"/>
          </w:tcPr>
          <w:p w14:paraId="3609D171" w14:textId="77777777" w:rsidR="00DD308E" w:rsidRDefault="00DD308E" w:rsidP="00855944">
            <w:pPr>
              <w:pStyle w:val="TableHEADER"/>
            </w:pPr>
            <w:r>
              <w:t>Type of study design*</w:t>
            </w:r>
          </w:p>
        </w:tc>
        <w:tc>
          <w:tcPr>
            <w:tcW w:w="780" w:type="pct"/>
          </w:tcPr>
          <w:p w14:paraId="31B4A003" w14:textId="77777777" w:rsidR="00DD308E" w:rsidRDefault="00DD308E" w:rsidP="00855944">
            <w:pPr>
              <w:pStyle w:val="TableHEADER"/>
            </w:pPr>
            <w:r w:rsidRPr="004D31AB">
              <w:t>Title of journal article  or research project (including any trial identifier or study lead if relevant)</w:t>
            </w:r>
          </w:p>
        </w:tc>
        <w:tc>
          <w:tcPr>
            <w:tcW w:w="1745" w:type="pct"/>
          </w:tcPr>
          <w:p w14:paraId="796B6343" w14:textId="77777777" w:rsidR="00DD308E" w:rsidRDefault="00DD308E" w:rsidP="00855944">
            <w:pPr>
              <w:pStyle w:val="TableHEADER"/>
            </w:pPr>
            <w:r>
              <w:t>Short description of research  (max 50 words)**</w:t>
            </w:r>
          </w:p>
        </w:tc>
        <w:tc>
          <w:tcPr>
            <w:tcW w:w="1140" w:type="pct"/>
          </w:tcPr>
          <w:p w14:paraId="27CBE8D1" w14:textId="77777777" w:rsidR="00DD308E" w:rsidRDefault="00DD308E" w:rsidP="00855944">
            <w:pPr>
              <w:pStyle w:val="TableHEADER"/>
            </w:pPr>
            <w:r w:rsidRPr="00E82F54">
              <w:t xml:space="preserve">Website link to </w:t>
            </w:r>
            <w:r>
              <w:t>journal article or research (if available)</w:t>
            </w:r>
          </w:p>
        </w:tc>
        <w:tc>
          <w:tcPr>
            <w:tcW w:w="812" w:type="pct"/>
          </w:tcPr>
          <w:p w14:paraId="54AF6DEB" w14:textId="77777777" w:rsidR="00DD308E" w:rsidRDefault="00DD308E" w:rsidP="00855944">
            <w:pPr>
              <w:pStyle w:val="TableHEADER"/>
            </w:pPr>
            <w:r w:rsidRPr="00E82F54">
              <w:t>Date</w:t>
            </w:r>
            <w:r>
              <w:t xml:space="preserve"> of publication</w:t>
            </w:r>
            <w:r w:rsidRPr="00E82F54">
              <w:t>*</w:t>
            </w:r>
            <w:r>
              <w:t>**</w:t>
            </w:r>
          </w:p>
        </w:tc>
      </w:tr>
      <w:tr w:rsidR="00FB1C01" w14:paraId="7E02125F" w14:textId="77777777" w:rsidTr="001A2BB3">
        <w:trPr>
          <w:cantSplit/>
        </w:trPr>
        <w:tc>
          <w:tcPr>
            <w:tcW w:w="123" w:type="pct"/>
          </w:tcPr>
          <w:p w14:paraId="4A7FB04C" w14:textId="7765D8AD" w:rsidR="00DD308E" w:rsidRPr="00245B37" w:rsidRDefault="001A2BB3" w:rsidP="00DD308E">
            <w:pPr>
              <w:rPr>
                <w:sz w:val="18"/>
                <w:szCs w:val="18"/>
              </w:rPr>
            </w:pPr>
            <w:r>
              <w:rPr>
                <w:sz w:val="18"/>
                <w:szCs w:val="18"/>
              </w:rPr>
              <w:t>1</w:t>
            </w:r>
          </w:p>
        </w:tc>
        <w:tc>
          <w:tcPr>
            <w:tcW w:w="400" w:type="pct"/>
          </w:tcPr>
          <w:p w14:paraId="1F9B2236" w14:textId="77777777" w:rsidR="00DD308E" w:rsidRPr="009063CD" w:rsidRDefault="00284ACF" w:rsidP="009063CD">
            <w:pPr>
              <w:spacing w:before="0"/>
              <w:rPr>
                <w:b/>
                <w:sz w:val="18"/>
                <w:szCs w:val="18"/>
              </w:rPr>
            </w:pPr>
            <w:r w:rsidRPr="009063CD">
              <w:rPr>
                <w:sz w:val="18"/>
                <w:szCs w:val="18"/>
              </w:rPr>
              <w:t>Observational</w:t>
            </w:r>
          </w:p>
        </w:tc>
        <w:tc>
          <w:tcPr>
            <w:tcW w:w="780" w:type="pct"/>
          </w:tcPr>
          <w:p w14:paraId="1D7C39DA" w14:textId="77777777" w:rsidR="00720D86" w:rsidRPr="009063CD" w:rsidRDefault="00720D86" w:rsidP="009063CD">
            <w:pPr>
              <w:pStyle w:val="Heading1"/>
              <w:shd w:val="clear" w:color="auto" w:fill="FCFCFC"/>
              <w:spacing w:after="120"/>
              <w:outlineLvl w:val="0"/>
              <w:rPr>
                <w:bCs w:val="0"/>
                <w:color w:val="333333"/>
                <w:spacing w:val="2"/>
                <w:sz w:val="18"/>
                <w:szCs w:val="18"/>
                <w:lang w:val="en"/>
              </w:rPr>
            </w:pPr>
            <w:r w:rsidRPr="009063CD">
              <w:rPr>
                <w:bCs w:val="0"/>
                <w:color w:val="333333"/>
                <w:spacing w:val="2"/>
                <w:sz w:val="18"/>
                <w:szCs w:val="18"/>
                <w:lang w:val="en"/>
              </w:rPr>
              <w:t>Detection of inherited mutations for hereditary cancer using target enrichment and next generation sequencing</w:t>
            </w:r>
          </w:p>
          <w:p w14:paraId="41C41791" w14:textId="77777777" w:rsidR="00DD308E" w:rsidRPr="009063CD" w:rsidRDefault="00DD308E" w:rsidP="009063CD">
            <w:pPr>
              <w:spacing w:before="0"/>
              <w:rPr>
                <w:b/>
                <w:sz w:val="18"/>
                <w:szCs w:val="18"/>
              </w:rPr>
            </w:pPr>
          </w:p>
        </w:tc>
        <w:tc>
          <w:tcPr>
            <w:tcW w:w="1745" w:type="pct"/>
          </w:tcPr>
          <w:p w14:paraId="1AC8F86F" w14:textId="77777777" w:rsidR="00DD308E" w:rsidRPr="009063CD" w:rsidRDefault="00720D86" w:rsidP="009063CD">
            <w:pPr>
              <w:spacing w:before="0"/>
              <w:rPr>
                <w:color w:val="333333"/>
                <w:spacing w:val="2"/>
                <w:sz w:val="18"/>
                <w:szCs w:val="18"/>
                <w:lang w:val="en"/>
              </w:rPr>
            </w:pPr>
            <w:r w:rsidRPr="009063CD">
              <w:rPr>
                <w:color w:val="333333"/>
                <w:spacing w:val="2"/>
                <w:sz w:val="18"/>
                <w:szCs w:val="18"/>
                <w:shd w:val="clear" w:color="auto" w:fill="FCFCFC"/>
              </w:rPr>
              <w:t xml:space="preserve">Next generation sequencing (NGS) has been rapidly evolving to increase testing sensitivity and throughput. It can be potentially used to identify inherited mutation in clinical diagnostic setting. This </w:t>
            </w:r>
            <w:r w:rsidRPr="009063CD">
              <w:rPr>
                <w:color w:val="333333"/>
                <w:spacing w:val="2"/>
                <w:sz w:val="18"/>
                <w:szCs w:val="18"/>
                <w:lang w:val="en"/>
              </w:rPr>
              <w:t>demonstrate that the target enrichment combined with NGS method provides the accuracy, sensitivity, and high throughput for genetic testing for patients with high risk of hereditary or familial cancer</w:t>
            </w:r>
          </w:p>
        </w:tc>
        <w:tc>
          <w:tcPr>
            <w:tcW w:w="1140" w:type="pct"/>
          </w:tcPr>
          <w:p w14:paraId="2AEF7D3D" w14:textId="0D38EB2F" w:rsidR="00DD308E" w:rsidRDefault="001F14C5" w:rsidP="009063CD">
            <w:pPr>
              <w:spacing w:before="0"/>
              <w:rPr>
                <w:sz w:val="18"/>
                <w:szCs w:val="18"/>
              </w:rPr>
            </w:pPr>
            <w:hyperlink r:id="rId13" w:tooltip="Website link to article" w:history="1">
              <w:r w:rsidR="00434781" w:rsidRPr="009413B9">
                <w:rPr>
                  <w:rStyle w:val="Hyperlink"/>
                  <w:sz w:val="18"/>
                  <w:szCs w:val="18"/>
                </w:rPr>
                <w:t>https://rd.springer.com/article/10.1007/s10689-014-9749-9</w:t>
              </w:r>
            </w:hyperlink>
          </w:p>
          <w:p w14:paraId="40A44881" w14:textId="77777777" w:rsidR="00434781" w:rsidRPr="009063CD" w:rsidRDefault="00434781" w:rsidP="009063CD">
            <w:pPr>
              <w:spacing w:before="0"/>
              <w:rPr>
                <w:sz w:val="18"/>
                <w:szCs w:val="18"/>
              </w:rPr>
            </w:pPr>
          </w:p>
        </w:tc>
        <w:tc>
          <w:tcPr>
            <w:tcW w:w="812" w:type="pct"/>
          </w:tcPr>
          <w:p w14:paraId="797E514E" w14:textId="77777777" w:rsidR="00DD308E" w:rsidRPr="009063CD" w:rsidRDefault="00720D86" w:rsidP="009063CD">
            <w:pPr>
              <w:spacing w:before="0"/>
              <w:rPr>
                <w:b/>
                <w:sz w:val="18"/>
                <w:szCs w:val="18"/>
              </w:rPr>
            </w:pPr>
            <w:r w:rsidRPr="009063CD">
              <w:rPr>
                <w:sz w:val="18"/>
                <w:szCs w:val="18"/>
              </w:rPr>
              <w:t xml:space="preserve">Guan Y. </w:t>
            </w:r>
            <w:r w:rsidRPr="009063CD">
              <w:rPr>
                <w:i/>
                <w:sz w:val="18"/>
                <w:szCs w:val="18"/>
              </w:rPr>
              <w:t>et al.</w:t>
            </w:r>
            <w:r w:rsidRPr="009063CD">
              <w:rPr>
                <w:sz w:val="18"/>
                <w:szCs w:val="18"/>
              </w:rPr>
              <w:t xml:space="preserve"> Fam Cancer. 2015 14(1):9-18</w:t>
            </w:r>
          </w:p>
        </w:tc>
      </w:tr>
      <w:tr w:rsidR="00FB1C01" w14:paraId="5468227D" w14:textId="77777777" w:rsidTr="001A2BB3">
        <w:trPr>
          <w:cantSplit/>
        </w:trPr>
        <w:tc>
          <w:tcPr>
            <w:tcW w:w="123" w:type="pct"/>
          </w:tcPr>
          <w:p w14:paraId="3087BC3A" w14:textId="088DD4D7" w:rsidR="00DD308E" w:rsidRPr="00245B37" w:rsidRDefault="001A2BB3" w:rsidP="00DD308E">
            <w:pPr>
              <w:rPr>
                <w:sz w:val="18"/>
                <w:szCs w:val="18"/>
              </w:rPr>
            </w:pPr>
            <w:r>
              <w:rPr>
                <w:sz w:val="18"/>
                <w:szCs w:val="18"/>
              </w:rPr>
              <w:t>2</w:t>
            </w:r>
          </w:p>
        </w:tc>
        <w:tc>
          <w:tcPr>
            <w:tcW w:w="400" w:type="pct"/>
          </w:tcPr>
          <w:p w14:paraId="624CBE55" w14:textId="77777777" w:rsidR="00DD308E" w:rsidRPr="009063CD" w:rsidRDefault="009063CD" w:rsidP="009063CD">
            <w:pPr>
              <w:spacing w:before="0"/>
              <w:rPr>
                <w:sz w:val="18"/>
                <w:szCs w:val="18"/>
              </w:rPr>
            </w:pPr>
            <w:r w:rsidRPr="009063CD">
              <w:rPr>
                <w:sz w:val="18"/>
                <w:szCs w:val="18"/>
              </w:rPr>
              <w:t>S</w:t>
            </w:r>
            <w:r w:rsidR="00F914A2" w:rsidRPr="009063CD">
              <w:rPr>
                <w:sz w:val="18"/>
                <w:szCs w:val="18"/>
              </w:rPr>
              <w:t>tudy of diagnostic accuracy</w:t>
            </w:r>
          </w:p>
        </w:tc>
        <w:tc>
          <w:tcPr>
            <w:tcW w:w="780" w:type="pct"/>
            <w:shd w:val="clear" w:color="auto" w:fill="auto"/>
          </w:tcPr>
          <w:p w14:paraId="352EA4BC" w14:textId="77777777" w:rsidR="00DD308E" w:rsidRPr="009063CD" w:rsidRDefault="000E0DC1" w:rsidP="009063CD">
            <w:pPr>
              <w:pStyle w:val="Heading1"/>
              <w:shd w:val="clear" w:color="auto" w:fill="FCFCFC"/>
              <w:spacing w:after="120"/>
              <w:outlineLvl w:val="0"/>
              <w:rPr>
                <w:bCs w:val="0"/>
                <w:color w:val="333333"/>
                <w:spacing w:val="2"/>
                <w:sz w:val="18"/>
                <w:szCs w:val="18"/>
                <w:lang w:val="en"/>
              </w:rPr>
            </w:pPr>
            <w:r w:rsidRPr="009063CD">
              <w:rPr>
                <w:bCs w:val="0"/>
                <w:color w:val="333333"/>
                <w:spacing w:val="2"/>
                <w:sz w:val="18"/>
                <w:szCs w:val="18"/>
                <w:lang w:val="en"/>
              </w:rPr>
              <w:t>Genetic Testing in Hereditary Breast and Ovarian Cancer Using Massive Parallel Sequencing</w:t>
            </w:r>
          </w:p>
        </w:tc>
        <w:tc>
          <w:tcPr>
            <w:tcW w:w="1745" w:type="pct"/>
          </w:tcPr>
          <w:p w14:paraId="5972A2AD" w14:textId="77777777" w:rsidR="00DD308E" w:rsidRPr="009063CD" w:rsidRDefault="00284ACF" w:rsidP="009063CD">
            <w:pPr>
              <w:spacing w:before="0"/>
              <w:rPr>
                <w:sz w:val="18"/>
                <w:szCs w:val="18"/>
              </w:rPr>
            </w:pPr>
            <w:r w:rsidRPr="009063CD">
              <w:rPr>
                <w:color w:val="000000"/>
                <w:sz w:val="18"/>
                <w:szCs w:val="18"/>
                <w:shd w:val="clear" w:color="auto" w:fill="FFFFFF"/>
              </w:rPr>
              <w:t>The aim of this study was to develop a workflow for the detection of BRCA1 and BRCA2 mutations using massive parallel sequencing in a 454 GS Junior bench top sequence</w:t>
            </w:r>
            <w:r w:rsidR="000E0DC1" w:rsidRPr="009063CD">
              <w:rPr>
                <w:color w:val="000000"/>
                <w:sz w:val="18"/>
                <w:szCs w:val="18"/>
                <w:shd w:val="clear" w:color="auto" w:fill="FFFFFF"/>
              </w:rPr>
              <w:t>r. The investigators workflow was first validated in a panel of 23 patients previously Sanger sequenced. Subsequently, 101 patients with familial breast and ovarian cancer were studied. We found 18 pathogenic mutations and 10 variants with unknown clinical significant effect (VUS). We show here that our workflow performs as Sanger sequencing in terms of sensitivity and specificity with the advantage of taking less time and cost consuming being suitable for genetic diagnosis.</w:t>
            </w:r>
          </w:p>
        </w:tc>
        <w:tc>
          <w:tcPr>
            <w:tcW w:w="1140" w:type="pct"/>
          </w:tcPr>
          <w:p w14:paraId="1DD7B3A5" w14:textId="5436F7A0" w:rsidR="00DD308E" w:rsidRDefault="001F14C5" w:rsidP="009063CD">
            <w:pPr>
              <w:spacing w:before="0"/>
              <w:rPr>
                <w:sz w:val="18"/>
                <w:szCs w:val="18"/>
              </w:rPr>
            </w:pPr>
            <w:hyperlink r:id="rId14" w:tooltip="Website link to article" w:history="1">
              <w:r w:rsidR="00434781" w:rsidRPr="009413B9">
                <w:rPr>
                  <w:rStyle w:val="Hyperlink"/>
                  <w:sz w:val="18"/>
                  <w:szCs w:val="18"/>
                </w:rPr>
                <w:t>https://www.hindawi.com/journals/bmri/2014/542541/</w:t>
              </w:r>
            </w:hyperlink>
          </w:p>
          <w:p w14:paraId="771390E3" w14:textId="77777777" w:rsidR="00434781" w:rsidRPr="009063CD" w:rsidRDefault="00434781" w:rsidP="009063CD">
            <w:pPr>
              <w:spacing w:before="0"/>
              <w:rPr>
                <w:sz w:val="18"/>
                <w:szCs w:val="18"/>
              </w:rPr>
            </w:pPr>
          </w:p>
        </w:tc>
        <w:tc>
          <w:tcPr>
            <w:tcW w:w="812" w:type="pct"/>
          </w:tcPr>
          <w:p w14:paraId="44AA4D66" w14:textId="77233729" w:rsidR="00DD308E" w:rsidRPr="009063CD" w:rsidRDefault="009106C2" w:rsidP="009063CD">
            <w:pPr>
              <w:spacing w:before="0"/>
              <w:rPr>
                <w:sz w:val="18"/>
                <w:szCs w:val="18"/>
              </w:rPr>
            </w:pPr>
            <w:r w:rsidRPr="009063CD">
              <w:rPr>
                <w:color w:val="000000"/>
                <w:sz w:val="18"/>
                <w:szCs w:val="18"/>
                <w:shd w:val="clear" w:color="auto" w:fill="FFFFFF"/>
              </w:rPr>
              <w:t>Ruiz A. et al. Biomed Res Int. 2014:542541</w:t>
            </w:r>
            <w:r w:rsidR="00DF5052" w:rsidRPr="009063CD">
              <w:rPr>
                <w:sz w:val="18"/>
                <w:szCs w:val="18"/>
              </w:rPr>
              <w:t xml:space="preserve"> </w:t>
            </w:r>
          </w:p>
        </w:tc>
      </w:tr>
      <w:tr w:rsidR="00FB1C01" w14:paraId="12EF9F39" w14:textId="77777777" w:rsidTr="001A2BB3">
        <w:trPr>
          <w:cantSplit/>
        </w:trPr>
        <w:tc>
          <w:tcPr>
            <w:tcW w:w="123" w:type="pct"/>
          </w:tcPr>
          <w:p w14:paraId="39FFE67C" w14:textId="683D9FC0" w:rsidR="00DD308E" w:rsidRPr="00245B37" w:rsidRDefault="001A2BB3" w:rsidP="00DD308E">
            <w:pPr>
              <w:rPr>
                <w:sz w:val="18"/>
                <w:szCs w:val="18"/>
              </w:rPr>
            </w:pPr>
            <w:r>
              <w:rPr>
                <w:sz w:val="18"/>
                <w:szCs w:val="18"/>
              </w:rPr>
              <w:lastRenderedPageBreak/>
              <w:t>3</w:t>
            </w:r>
          </w:p>
        </w:tc>
        <w:tc>
          <w:tcPr>
            <w:tcW w:w="400" w:type="pct"/>
          </w:tcPr>
          <w:p w14:paraId="2939EB0E" w14:textId="77777777" w:rsidR="00DD308E" w:rsidRPr="009063CD" w:rsidRDefault="009063CD" w:rsidP="009063CD">
            <w:pPr>
              <w:spacing w:before="0"/>
              <w:rPr>
                <w:sz w:val="18"/>
                <w:szCs w:val="18"/>
              </w:rPr>
            </w:pPr>
            <w:r>
              <w:rPr>
                <w:sz w:val="18"/>
                <w:szCs w:val="18"/>
              </w:rPr>
              <w:t>St</w:t>
            </w:r>
            <w:r w:rsidR="00F914A2" w:rsidRPr="009063CD">
              <w:rPr>
                <w:sz w:val="18"/>
                <w:szCs w:val="18"/>
              </w:rPr>
              <w:t>udy of diagnostic accuracy</w:t>
            </w:r>
          </w:p>
        </w:tc>
        <w:tc>
          <w:tcPr>
            <w:tcW w:w="780" w:type="pct"/>
          </w:tcPr>
          <w:p w14:paraId="2DFB40EB" w14:textId="77777777" w:rsidR="00D50325" w:rsidRPr="009063CD" w:rsidRDefault="00D50325" w:rsidP="009063CD">
            <w:pPr>
              <w:pStyle w:val="Heading1"/>
              <w:shd w:val="clear" w:color="auto" w:fill="FFFFFF"/>
              <w:spacing w:after="120"/>
              <w:outlineLvl w:val="0"/>
              <w:rPr>
                <w:bCs w:val="0"/>
                <w:color w:val="auto"/>
                <w:sz w:val="18"/>
                <w:szCs w:val="18"/>
              </w:rPr>
            </w:pPr>
            <w:r w:rsidRPr="009063CD">
              <w:rPr>
                <w:bCs w:val="0"/>
                <w:color w:val="auto"/>
                <w:sz w:val="18"/>
                <w:szCs w:val="18"/>
              </w:rPr>
              <w:t>Development and Validation of a Next-Generation Sequencing Assay for </w:t>
            </w:r>
            <w:r w:rsidRPr="009063CD">
              <w:rPr>
                <w:bCs w:val="0"/>
                <w:i/>
                <w:iCs/>
                <w:color w:val="auto"/>
                <w:sz w:val="18"/>
                <w:szCs w:val="18"/>
              </w:rPr>
              <w:t>BRCA1</w:t>
            </w:r>
            <w:r w:rsidRPr="009063CD">
              <w:rPr>
                <w:bCs w:val="0"/>
                <w:color w:val="auto"/>
                <w:sz w:val="18"/>
                <w:szCs w:val="18"/>
              </w:rPr>
              <w:t> and </w:t>
            </w:r>
            <w:r w:rsidRPr="009063CD">
              <w:rPr>
                <w:bCs w:val="0"/>
                <w:i/>
                <w:iCs/>
                <w:color w:val="auto"/>
                <w:sz w:val="18"/>
                <w:szCs w:val="18"/>
              </w:rPr>
              <w:t>BRCA2</w:t>
            </w:r>
            <w:r w:rsidRPr="009063CD">
              <w:rPr>
                <w:bCs w:val="0"/>
                <w:color w:val="auto"/>
                <w:sz w:val="18"/>
                <w:szCs w:val="18"/>
              </w:rPr>
              <w:t> Variants for the Clinical Laboratory</w:t>
            </w:r>
          </w:p>
          <w:p w14:paraId="1AF64021" w14:textId="77777777" w:rsidR="00DD308E" w:rsidRPr="009063CD" w:rsidRDefault="00DD308E" w:rsidP="009063CD">
            <w:pPr>
              <w:spacing w:before="0"/>
              <w:rPr>
                <w:sz w:val="18"/>
                <w:szCs w:val="18"/>
              </w:rPr>
            </w:pPr>
          </w:p>
        </w:tc>
        <w:tc>
          <w:tcPr>
            <w:tcW w:w="1745" w:type="pct"/>
          </w:tcPr>
          <w:p w14:paraId="7406F3C6" w14:textId="77777777" w:rsidR="00DD308E" w:rsidRPr="009063CD" w:rsidRDefault="00F914A2" w:rsidP="009063CD">
            <w:pPr>
              <w:spacing w:before="0"/>
              <w:rPr>
                <w:sz w:val="18"/>
                <w:szCs w:val="18"/>
              </w:rPr>
            </w:pPr>
            <w:r w:rsidRPr="009063CD">
              <w:rPr>
                <w:sz w:val="18"/>
                <w:szCs w:val="18"/>
              </w:rPr>
              <w:t>Th</w:t>
            </w:r>
            <w:r w:rsidR="005812C1" w:rsidRPr="009063CD">
              <w:rPr>
                <w:sz w:val="18"/>
                <w:szCs w:val="18"/>
              </w:rPr>
              <w:t>e objective of this study was to design and validate a next-gener</w:t>
            </w:r>
            <w:r w:rsidR="009063CD">
              <w:rPr>
                <w:sz w:val="18"/>
                <w:szCs w:val="18"/>
              </w:rPr>
              <w:t xml:space="preserve">ation sequencing assay (NGS) to </w:t>
            </w:r>
            <w:r w:rsidR="005812C1" w:rsidRPr="009063CD">
              <w:rPr>
                <w:sz w:val="18"/>
                <w:szCs w:val="18"/>
              </w:rPr>
              <w:t>detect </w:t>
            </w:r>
            <w:r w:rsidR="005812C1" w:rsidRPr="009063CD">
              <w:rPr>
                <w:i/>
                <w:iCs/>
                <w:sz w:val="18"/>
                <w:szCs w:val="18"/>
              </w:rPr>
              <w:t>BRCA1</w:t>
            </w:r>
            <w:r w:rsidR="005812C1" w:rsidRPr="009063CD">
              <w:rPr>
                <w:sz w:val="18"/>
                <w:szCs w:val="18"/>
              </w:rPr>
              <w:t> and </w:t>
            </w:r>
            <w:r w:rsidR="005812C1" w:rsidRPr="009063CD">
              <w:rPr>
                <w:i/>
                <w:iCs/>
                <w:sz w:val="18"/>
                <w:szCs w:val="18"/>
              </w:rPr>
              <w:t>BRCA2</w:t>
            </w:r>
            <w:r w:rsidR="005812C1" w:rsidRPr="009063CD">
              <w:rPr>
                <w:sz w:val="18"/>
                <w:szCs w:val="18"/>
              </w:rPr>
              <w:t> mutations. The investigators developed an NGS </w:t>
            </w:r>
            <w:r w:rsidR="005812C1" w:rsidRPr="009063CD">
              <w:rPr>
                <w:i/>
                <w:iCs/>
                <w:sz w:val="18"/>
                <w:szCs w:val="18"/>
              </w:rPr>
              <w:t>BRCA1/2</w:t>
            </w:r>
            <w:r w:rsidR="005812C1" w:rsidRPr="009063CD">
              <w:rPr>
                <w:sz w:val="18"/>
                <w:szCs w:val="18"/>
              </w:rPr>
              <w:t xml:space="preserve">sequencing assay, </w:t>
            </w:r>
            <w:proofErr w:type="spellStart"/>
            <w:r w:rsidR="005812C1" w:rsidRPr="009063CD">
              <w:rPr>
                <w:sz w:val="18"/>
                <w:szCs w:val="18"/>
              </w:rPr>
              <w:t>MiSeq</w:t>
            </w:r>
            <w:proofErr w:type="spellEnd"/>
            <w:r w:rsidR="005812C1" w:rsidRPr="009063CD">
              <w:rPr>
                <w:sz w:val="18"/>
                <w:szCs w:val="18"/>
              </w:rPr>
              <w:t xml:space="preserve">/QSAP, with 100% analytic sensitivity and specificity in the validation set consisting of 379 variants. The </w:t>
            </w:r>
            <w:proofErr w:type="spellStart"/>
            <w:r w:rsidR="005812C1" w:rsidRPr="009063CD">
              <w:rPr>
                <w:sz w:val="18"/>
                <w:szCs w:val="18"/>
              </w:rPr>
              <w:t>MiSeq</w:t>
            </w:r>
            <w:proofErr w:type="spellEnd"/>
            <w:r w:rsidR="005812C1" w:rsidRPr="009063CD">
              <w:rPr>
                <w:sz w:val="18"/>
                <w:szCs w:val="18"/>
              </w:rPr>
              <w:t>/QSAP combination has sufficient performance for use in a clinical laboratory.</w:t>
            </w:r>
          </w:p>
        </w:tc>
        <w:tc>
          <w:tcPr>
            <w:tcW w:w="1140" w:type="pct"/>
          </w:tcPr>
          <w:p w14:paraId="49C2DF33" w14:textId="66ABAF92" w:rsidR="005812C1" w:rsidRDefault="001F14C5" w:rsidP="009063CD">
            <w:pPr>
              <w:spacing w:before="0"/>
              <w:rPr>
                <w:sz w:val="18"/>
                <w:szCs w:val="18"/>
              </w:rPr>
            </w:pPr>
            <w:hyperlink r:id="rId15" w:tooltip="Website link to article" w:history="1">
              <w:r w:rsidR="00434781" w:rsidRPr="009413B9">
                <w:rPr>
                  <w:rStyle w:val="Hyperlink"/>
                  <w:sz w:val="18"/>
                  <w:szCs w:val="18"/>
                </w:rPr>
                <w:t>https://www.ncbi.nlm.nih.gov/pmc/articles/PMC4546651/</w:t>
              </w:r>
            </w:hyperlink>
          </w:p>
          <w:p w14:paraId="53F99380" w14:textId="77777777" w:rsidR="00434781" w:rsidRPr="009063CD" w:rsidRDefault="00434781" w:rsidP="009063CD">
            <w:pPr>
              <w:spacing w:before="0"/>
              <w:rPr>
                <w:sz w:val="18"/>
                <w:szCs w:val="18"/>
              </w:rPr>
            </w:pPr>
          </w:p>
        </w:tc>
        <w:tc>
          <w:tcPr>
            <w:tcW w:w="812" w:type="pct"/>
          </w:tcPr>
          <w:p w14:paraId="289C6586" w14:textId="77777777" w:rsidR="005812C1" w:rsidRPr="009063CD" w:rsidRDefault="005812C1" w:rsidP="009063CD">
            <w:pPr>
              <w:spacing w:before="0"/>
              <w:rPr>
                <w:sz w:val="18"/>
                <w:szCs w:val="18"/>
              </w:rPr>
            </w:pPr>
            <w:r w:rsidRPr="009063CD">
              <w:rPr>
                <w:sz w:val="18"/>
                <w:szCs w:val="18"/>
              </w:rPr>
              <w:t>Strom CM et al</w:t>
            </w:r>
            <w:r w:rsidR="009063CD">
              <w:rPr>
                <w:sz w:val="18"/>
                <w:szCs w:val="18"/>
              </w:rPr>
              <w:t xml:space="preserve">. </w:t>
            </w:r>
            <w:proofErr w:type="spellStart"/>
            <w:r w:rsidRPr="009063CD">
              <w:rPr>
                <w:sz w:val="18"/>
                <w:szCs w:val="18"/>
              </w:rPr>
              <w:t>PLoS</w:t>
            </w:r>
            <w:proofErr w:type="spellEnd"/>
            <w:r w:rsidRPr="009063CD">
              <w:rPr>
                <w:sz w:val="18"/>
                <w:szCs w:val="18"/>
              </w:rPr>
              <w:t xml:space="preserve"> One. 2015 Aug 21</w:t>
            </w:r>
            <w:proofErr w:type="gramStart"/>
            <w:r w:rsidRPr="009063CD">
              <w:rPr>
                <w:sz w:val="18"/>
                <w:szCs w:val="18"/>
              </w:rPr>
              <w:t>;10</w:t>
            </w:r>
            <w:proofErr w:type="gramEnd"/>
            <w:r w:rsidRPr="009063CD">
              <w:rPr>
                <w:sz w:val="18"/>
                <w:szCs w:val="18"/>
              </w:rPr>
              <w:t xml:space="preserve">(8):e0136419. </w:t>
            </w:r>
            <w:proofErr w:type="spellStart"/>
            <w:r w:rsidRPr="009063CD">
              <w:rPr>
                <w:sz w:val="18"/>
                <w:szCs w:val="18"/>
              </w:rPr>
              <w:t>doi</w:t>
            </w:r>
            <w:proofErr w:type="spellEnd"/>
            <w:r w:rsidRPr="009063CD">
              <w:rPr>
                <w:sz w:val="18"/>
                <w:szCs w:val="18"/>
              </w:rPr>
              <w:t>: 10.1371/journal.pone.0136419.</w:t>
            </w:r>
          </w:p>
        </w:tc>
      </w:tr>
      <w:tr w:rsidR="00FB1C01" w14:paraId="70C529E1" w14:textId="77777777" w:rsidTr="001A2BB3">
        <w:trPr>
          <w:cantSplit/>
        </w:trPr>
        <w:tc>
          <w:tcPr>
            <w:tcW w:w="123" w:type="pct"/>
          </w:tcPr>
          <w:p w14:paraId="0DBC0382" w14:textId="0173F10D" w:rsidR="00DD308E" w:rsidRPr="00245B37" w:rsidRDefault="001A2BB3" w:rsidP="00DD308E">
            <w:pPr>
              <w:rPr>
                <w:sz w:val="18"/>
                <w:szCs w:val="18"/>
              </w:rPr>
            </w:pPr>
            <w:r>
              <w:rPr>
                <w:sz w:val="18"/>
                <w:szCs w:val="18"/>
              </w:rPr>
              <w:t>4</w:t>
            </w:r>
          </w:p>
        </w:tc>
        <w:tc>
          <w:tcPr>
            <w:tcW w:w="400" w:type="pct"/>
          </w:tcPr>
          <w:p w14:paraId="00DF55BE" w14:textId="77777777" w:rsidR="00DD308E" w:rsidRPr="009063CD" w:rsidRDefault="009063CD" w:rsidP="009063CD">
            <w:pPr>
              <w:spacing w:before="0"/>
              <w:rPr>
                <w:sz w:val="18"/>
                <w:szCs w:val="18"/>
              </w:rPr>
            </w:pPr>
            <w:r>
              <w:rPr>
                <w:sz w:val="18"/>
                <w:szCs w:val="18"/>
              </w:rPr>
              <w:t>S</w:t>
            </w:r>
            <w:r w:rsidR="00F914A2" w:rsidRPr="009063CD">
              <w:rPr>
                <w:sz w:val="18"/>
                <w:szCs w:val="18"/>
              </w:rPr>
              <w:t>tudy of diagnostic accuracy</w:t>
            </w:r>
          </w:p>
        </w:tc>
        <w:tc>
          <w:tcPr>
            <w:tcW w:w="780" w:type="pct"/>
          </w:tcPr>
          <w:p w14:paraId="12E90064" w14:textId="77777777" w:rsidR="008A34A3" w:rsidRPr="009063CD" w:rsidRDefault="008A34A3" w:rsidP="009063CD">
            <w:pPr>
              <w:pStyle w:val="Heading1"/>
              <w:shd w:val="clear" w:color="auto" w:fill="FFFFFF"/>
              <w:spacing w:after="120"/>
              <w:outlineLvl w:val="0"/>
              <w:rPr>
                <w:bCs w:val="0"/>
                <w:color w:val="auto"/>
                <w:sz w:val="18"/>
                <w:szCs w:val="18"/>
              </w:rPr>
            </w:pPr>
            <w:r w:rsidRPr="009063CD">
              <w:rPr>
                <w:bCs w:val="0"/>
                <w:color w:val="auto"/>
                <w:sz w:val="18"/>
                <w:szCs w:val="18"/>
              </w:rPr>
              <w:t>Detection of false positive mutations in BRCA gene by next generation sequencing.</w:t>
            </w:r>
          </w:p>
          <w:p w14:paraId="0FC0AFCF" w14:textId="77777777" w:rsidR="00DD308E" w:rsidRPr="009063CD" w:rsidRDefault="00DD308E" w:rsidP="009063CD">
            <w:pPr>
              <w:spacing w:before="0" w:after="0"/>
              <w:rPr>
                <w:sz w:val="18"/>
                <w:szCs w:val="18"/>
              </w:rPr>
            </w:pPr>
          </w:p>
        </w:tc>
        <w:tc>
          <w:tcPr>
            <w:tcW w:w="1745" w:type="pct"/>
          </w:tcPr>
          <w:p w14:paraId="6E254F02" w14:textId="77777777" w:rsidR="00DD308E" w:rsidRPr="009063CD" w:rsidRDefault="008A34A3" w:rsidP="009063CD">
            <w:pPr>
              <w:spacing w:before="0"/>
              <w:rPr>
                <w:sz w:val="18"/>
                <w:szCs w:val="18"/>
              </w:rPr>
            </w:pPr>
            <w:r w:rsidRPr="009063CD">
              <w:rPr>
                <w:sz w:val="18"/>
                <w:szCs w:val="18"/>
              </w:rPr>
              <w:t>New age sequencing platforms have revolutionized massively parallel sequencing in clinical practice by providing cost effective, rapid, and sensitive sequencing. This study critically evaluates the false positives in multiplex panels and suggests the need for careful analysis. </w:t>
            </w:r>
            <w:r w:rsidR="009063CD" w:rsidRPr="009063CD">
              <w:rPr>
                <w:sz w:val="18"/>
                <w:szCs w:val="18"/>
              </w:rPr>
              <w:t xml:space="preserve"> </w:t>
            </w:r>
          </w:p>
        </w:tc>
        <w:tc>
          <w:tcPr>
            <w:tcW w:w="1140" w:type="pct"/>
          </w:tcPr>
          <w:p w14:paraId="2854E7C4" w14:textId="20F70480" w:rsidR="00DD308E" w:rsidRDefault="001F14C5" w:rsidP="009063CD">
            <w:pPr>
              <w:spacing w:before="0"/>
              <w:rPr>
                <w:sz w:val="18"/>
                <w:szCs w:val="18"/>
              </w:rPr>
            </w:pPr>
            <w:hyperlink r:id="rId16" w:tooltip="Website link to article" w:history="1">
              <w:r w:rsidR="00434781" w:rsidRPr="009413B9">
                <w:rPr>
                  <w:rStyle w:val="Hyperlink"/>
                  <w:sz w:val="18"/>
                  <w:szCs w:val="18"/>
                </w:rPr>
                <w:t>https://www.ncbi.nlm.nih.gov/pubmed/27848044</w:t>
              </w:r>
            </w:hyperlink>
          </w:p>
          <w:p w14:paraId="5C4C18F4" w14:textId="77777777" w:rsidR="00434781" w:rsidRPr="009063CD" w:rsidRDefault="00434781" w:rsidP="009063CD">
            <w:pPr>
              <w:spacing w:before="0"/>
              <w:rPr>
                <w:sz w:val="18"/>
                <w:szCs w:val="18"/>
              </w:rPr>
            </w:pPr>
          </w:p>
        </w:tc>
        <w:tc>
          <w:tcPr>
            <w:tcW w:w="812" w:type="pct"/>
          </w:tcPr>
          <w:p w14:paraId="6E661ECE" w14:textId="77777777" w:rsidR="008A34A3" w:rsidRPr="009063CD" w:rsidRDefault="008A34A3" w:rsidP="009063CD">
            <w:pPr>
              <w:shd w:val="clear" w:color="auto" w:fill="FFFFFF"/>
              <w:spacing w:before="0" w:after="0"/>
              <w:textAlignment w:val="baseline"/>
              <w:rPr>
                <w:sz w:val="18"/>
                <w:szCs w:val="18"/>
              </w:rPr>
            </w:pPr>
            <w:r w:rsidRPr="009063CD">
              <w:rPr>
                <w:sz w:val="18"/>
                <w:szCs w:val="18"/>
              </w:rPr>
              <w:t xml:space="preserve">Fam Cancer. 2017 Jul;16(3):311-317. </w:t>
            </w:r>
            <w:proofErr w:type="spellStart"/>
            <w:r w:rsidRPr="009063CD">
              <w:rPr>
                <w:sz w:val="18"/>
                <w:szCs w:val="18"/>
              </w:rPr>
              <w:t>doi</w:t>
            </w:r>
            <w:proofErr w:type="spellEnd"/>
            <w:r w:rsidRPr="009063CD">
              <w:rPr>
                <w:sz w:val="18"/>
                <w:szCs w:val="18"/>
              </w:rPr>
              <w:t>: 10.1007/s10689-016-9955-8.</w:t>
            </w:r>
          </w:p>
          <w:p w14:paraId="5EB8C0B1" w14:textId="77777777" w:rsidR="00DD308E" w:rsidRPr="009063CD" w:rsidRDefault="00DD308E" w:rsidP="009063CD">
            <w:pPr>
              <w:spacing w:before="0"/>
              <w:rPr>
                <w:sz w:val="18"/>
                <w:szCs w:val="18"/>
              </w:rPr>
            </w:pPr>
          </w:p>
        </w:tc>
      </w:tr>
      <w:tr w:rsidR="00FB1C01" w14:paraId="0A8EED02" w14:textId="77777777" w:rsidTr="001A2BB3">
        <w:trPr>
          <w:cantSplit/>
        </w:trPr>
        <w:tc>
          <w:tcPr>
            <w:tcW w:w="123" w:type="pct"/>
          </w:tcPr>
          <w:p w14:paraId="56E485F0" w14:textId="7D1C639C" w:rsidR="00DD308E" w:rsidRDefault="001A2BB3" w:rsidP="00DD308E">
            <w:pPr>
              <w:rPr>
                <w:szCs w:val="20"/>
              </w:rPr>
            </w:pPr>
            <w:r>
              <w:rPr>
                <w:sz w:val="18"/>
                <w:szCs w:val="18"/>
              </w:rPr>
              <w:t>5</w:t>
            </w:r>
          </w:p>
        </w:tc>
        <w:tc>
          <w:tcPr>
            <w:tcW w:w="400" w:type="pct"/>
          </w:tcPr>
          <w:p w14:paraId="17F322EE" w14:textId="77777777" w:rsidR="00DD308E" w:rsidRPr="009063CD" w:rsidRDefault="00245B37" w:rsidP="009063CD">
            <w:pPr>
              <w:spacing w:before="0"/>
              <w:rPr>
                <w:sz w:val="18"/>
                <w:szCs w:val="18"/>
              </w:rPr>
            </w:pPr>
            <w:r>
              <w:rPr>
                <w:sz w:val="18"/>
                <w:szCs w:val="18"/>
              </w:rPr>
              <w:t>S</w:t>
            </w:r>
            <w:r w:rsidR="00F914A2" w:rsidRPr="009063CD">
              <w:rPr>
                <w:sz w:val="18"/>
                <w:szCs w:val="18"/>
              </w:rPr>
              <w:t>tudy of diagnostic accuracy</w:t>
            </w:r>
          </w:p>
        </w:tc>
        <w:tc>
          <w:tcPr>
            <w:tcW w:w="780" w:type="pct"/>
          </w:tcPr>
          <w:p w14:paraId="658FB6A9" w14:textId="77777777" w:rsidR="00E85C4E" w:rsidRPr="00245B37" w:rsidRDefault="00E85C4E" w:rsidP="009063CD">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 xml:space="preserve">Validation of an </w:t>
            </w:r>
          </w:p>
          <w:p w14:paraId="555F660F" w14:textId="77777777" w:rsidR="00E85C4E" w:rsidRPr="00245B37" w:rsidRDefault="00E85C4E" w:rsidP="009063CD">
            <w:pPr>
              <w:pStyle w:val="Heading2"/>
              <w:numPr>
                <w:ilvl w:val="0"/>
                <w:numId w:val="0"/>
              </w:numPr>
              <w:shd w:val="clear" w:color="auto" w:fill="FFFFFF"/>
              <w:spacing w:before="0"/>
              <w:jc w:val="both"/>
              <w:outlineLvl w:val="1"/>
              <w:rPr>
                <w:b w:val="0"/>
                <w:sz w:val="18"/>
                <w:szCs w:val="18"/>
              </w:rPr>
            </w:pPr>
            <w:r w:rsidRPr="00245B37">
              <w:rPr>
                <w:b w:val="0"/>
                <w:sz w:val="18"/>
                <w:szCs w:val="18"/>
              </w:rPr>
              <w:t xml:space="preserve">NGS Approach </w:t>
            </w:r>
          </w:p>
          <w:p w14:paraId="47DB202B" w14:textId="77777777" w:rsidR="00E85C4E" w:rsidRPr="00245B37" w:rsidRDefault="00E85C4E" w:rsidP="009063CD">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 xml:space="preserve">for Diagnostic </w:t>
            </w:r>
          </w:p>
          <w:p w14:paraId="3C6DFFD7" w14:textId="77777777" w:rsidR="00E85C4E" w:rsidRPr="00245B37" w:rsidRDefault="00E85C4E" w:rsidP="009063CD">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 xml:space="preserve">BRCA1/BRCA2 </w:t>
            </w:r>
          </w:p>
          <w:p w14:paraId="62FCBC5C" w14:textId="77777777" w:rsidR="00E85C4E" w:rsidRPr="00245B37" w:rsidRDefault="00E85C4E" w:rsidP="009063CD">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Mutation Testing</w:t>
            </w:r>
          </w:p>
          <w:p w14:paraId="14D30CC9" w14:textId="77777777" w:rsidR="00DD308E" w:rsidRPr="009063CD" w:rsidRDefault="00DD308E" w:rsidP="009063CD">
            <w:pPr>
              <w:spacing w:before="0"/>
              <w:rPr>
                <w:sz w:val="18"/>
                <w:szCs w:val="18"/>
              </w:rPr>
            </w:pPr>
          </w:p>
        </w:tc>
        <w:tc>
          <w:tcPr>
            <w:tcW w:w="1745" w:type="pct"/>
          </w:tcPr>
          <w:p w14:paraId="7F9E3C0E" w14:textId="77777777" w:rsidR="00DD308E" w:rsidRPr="009063CD" w:rsidRDefault="00A96FF0" w:rsidP="009063CD">
            <w:pPr>
              <w:spacing w:before="0"/>
              <w:rPr>
                <w:sz w:val="18"/>
                <w:szCs w:val="18"/>
              </w:rPr>
            </w:pPr>
            <w:r w:rsidRPr="009063CD">
              <w:rPr>
                <w:sz w:val="18"/>
                <w:szCs w:val="18"/>
              </w:rPr>
              <w:t xml:space="preserve">The aim of the study was to evaluate the sensitivity and specificity of the Ion Torrent PGM™ for diagnostic mutation screening of BRCA1/2 genes.  The study validated a quick and accurate diagnostic test, with an overall specificity of 95.9% and sensitivity of up to 100% followed by confirmation of the identified variants by Sanger sequencing. </w:t>
            </w:r>
            <w:r w:rsidR="00E85C4E" w:rsidRPr="009063CD">
              <w:rPr>
                <w:sz w:val="18"/>
                <w:szCs w:val="18"/>
              </w:rPr>
              <w:t xml:space="preserve"> The results showed</w:t>
            </w:r>
            <w:r w:rsidRPr="009063CD">
              <w:rPr>
                <w:sz w:val="18"/>
                <w:szCs w:val="18"/>
              </w:rPr>
              <w:t xml:space="preserve"> that the Ion </w:t>
            </w:r>
            <w:proofErr w:type="spellStart"/>
            <w:r w:rsidRPr="009063CD">
              <w:rPr>
                <w:sz w:val="18"/>
                <w:szCs w:val="18"/>
              </w:rPr>
              <w:t>AmpliSeq</w:t>
            </w:r>
            <w:proofErr w:type="spellEnd"/>
            <w:r w:rsidRPr="009063CD">
              <w:rPr>
                <w:sz w:val="18"/>
                <w:szCs w:val="18"/>
              </w:rPr>
              <w:t>™ BRCA1/2 Community Panel used with the PGM™ platform</w:t>
            </w:r>
            <w:r w:rsidR="00E85C4E" w:rsidRPr="009063CD">
              <w:rPr>
                <w:sz w:val="18"/>
                <w:szCs w:val="18"/>
              </w:rPr>
              <w:t xml:space="preserve"> was </w:t>
            </w:r>
            <w:r w:rsidRPr="009063CD">
              <w:rPr>
                <w:sz w:val="18"/>
                <w:szCs w:val="18"/>
              </w:rPr>
              <w:t>able to detect all sequence variants discovered by Sanger sequencing.</w:t>
            </w:r>
          </w:p>
        </w:tc>
        <w:tc>
          <w:tcPr>
            <w:tcW w:w="1140" w:type="pct"/>
          </w:tcPr>
          <w:p w14:paraId="7472D866" w14:textId="39F5FA8B" w:rsidR="00DD308E" w:rsidRDefault="001F14C5" w:rsidP="009063CD">
            <w:pPr>
              <w:spacing w:before="0"/>
              <w:rPr>
                <w:sz w:val="18"/>
                <w:szCs w:val="18"/>
              </w:rPr>
            </w:pPr>
            <w:hyperlink r:id="rId17" w:tooltip="Website link to article" w:history="1">
              <w:r w:rsidR="00434781" w:rsidRPr="009413B9">
                <w:rPr>
                  <w:rStyle w:val="Hyperlink"/>
                  <w:sz w:val="18"/>
                  <w:szCs w:val="18"/>
                </w:rPr>
                <w:t>https://www.ncbi.nlm.nih.gov/labs/articles/25893891/</w:t>
              </w:r>
            </w:hyperlink>
          </w:p>
          <w:p w14:paraId="74E4AFDF" w14:textId="77777777" w:rsidR="00434781" w:rsidRPr="009063CD" w:rsidRDefault="00434781" w:rsidP="009063CD">
            <w:pPr>
              <w:spacing w:before="0"/>
              <w:rPr>
                <w:sz w:val="18"/>
                <w:szCs w:val="18"/>
              </w:rPr>
            </w:pPr>
          </w:p>
        </w:tc>
        <w:tc>
          <w:tcPr>
            <w:tcW w:w="812" w:type="pct"/>
          </w:tcPr>
          <w:p w14:paraId="043BF0BB" w14:textId="77777777" w:rsidR="00DD308E" w:rsidRPr="009063CD" w:rsidRDefault="00E85C4E" w:rsidP="009063CD">
            <w:pPr>
              <w:spacing w:before="0"/>
              <w:rPr>
                <w:sz w:val="18"/>
                <w:szCs w:val="18"/>
              </w:rPr>
            </w:pPr>
            <w:proofErr w:type="spellStart"/>
            <w:r w:rsidRPr="009063CD">
              <w:rPr>
                <w:sz w:val="18"/>
                <w:szCs w:val="18"/>
              </w:rPr>
              <w:t>Dacheva</w:t>
            </w:r>
            <w:proofErr w:type="spellEnd"/>
            <w:r w:rsidRPr="009063CD">
              <w:rPr>
                <w:sz w:val="18"/>
                <w:szCs w:val="18"/>
              </w:rPr>
              <w:t xml:space="preserve"> D. et al. </w:t>
            </w:r>
            <w:proofErr w:type="spellStart"/>
            <w:r w:rsidRPr="009063CD">
              <w:rPr>
                <w:sz w:val="18"/>
                <w:szCs w:val="18"/>
              </w:rPr>
              <w:t>Mol</w:t>
            </w:r>
            <w:proofErr w:type="spellEnd"/>
            <w:r w:rsidRPr="009063CD">
              <w:rPr>
                <w:sz w:val="18"/>
                <w:szCs w:val="18"/>
              </w:rPr>
              <w:t xml:space="preserve"> </w:t>
            </w:r>
            <w:proofErr w:type="spellStart"/>
            <w:r w:rsidRPr="009063CD">
              <w:rPr>
                <w:sz w:val="18"/>
                <w:szCs w:val="18"/>
              </w:rPr>
              <w:t>Diagn</w:t>
            </w:r>
            <w:proofErr w:type="spellEnd"/>
            <w:r w:rsidRPr="009063CD">
              <w:rPr>
                <w:sz w:val="18"/>
                <w:szCs w:val="18"/>
              </w:rPr>
              <w:t xml:space="preserve"> </w:t>
            </w:r>
            <w:proofErr w:type="spellStart"/>
            <w:r w:rsidRPr="009063CD">
              <w:rPr>
                <w:sz w:val="18"/>
                <w:szCs w:val="18"/>
              </w:rPr>
              <w:t>Ther</w:t>
            </w:r>
            <w:proofErr w:type="spellEnd"/>
            <w:r w:rsidRPr="009063CD">
              <w:rPr>
                <w:sz w:val="18"/>
                <w:szCs w:val="18"/>
              </w:rPr>
              <w:t>. 2015 19(2):119-30</w:t>
            </w:r>
          </w:p>
        </w:tc>
      </w:tr>
      <w:tr w:rsidR="00FB1C01" w14:paraId="2A6A9E7A" w14:textId="77777777" w:rsidTr="001A2BB3">
        <w:trPr>
          <w:cantSplit/>
        </w:trPr>
        <w:tc>
          <w:tcPr>
            <w:tcW w:w="123" w:type="pct"/>
          </w:tcPr>
          <w:p w14:paraId="28272C9C" w14:textId="42DC1669" w:rsidR="00245B37" w:rsidRPr="00245B37" w:rsidRDefault="001A2BB3" w:rsidP="00245B37">
            <w:pPr>
              <w:rPr>
                <w:sz w:val="18"/>
                <w:szCs w:val="18"/>
              </w:rPr>
            </w:pPr>
            <w:r>
              <w:rPr>
                <w:sz w:val="18"/>
                <w:szCs w:val="18"/>
              </w:rPr>
              <w:lastRenderedPageBreak/>
              <w:t>6</w:t>
            </w:r>
          </w:p>
        </w:tc>
        <w:tc>
          <w:tcPr>
            <w:tcW w:w="400" w:type="pct"/>
          </w:tcPr>
          <w:p w14:paraId="01E73012" w14:textId="77777777" w:rsidR="00245B37" w:rsidRDefault="00245B37" w:rsidP="00245B37">
            <w:pPr>
              <w:rPr>
                <w:b/>
                <w:szCs w:val="20"/>
              </w:rPr>
            </w:pPr>
            <w:r>
              <w:rPr>
                <w:sz w:val="18"/>
                <w:szCs w:val="18"/>
              </w:rPr>
              <w:t>S</w:t>
            </w:r>
            <w:r w:rsidRPr="009063CD">
              <w:rPr>
                <w:sz w:val="18"/>
                <w:szCs w:val="18"/>
              </w:rPr>
              <w:t>tudy of diagnostic accuracy</w:t>
            </w:r>
          </w:p>
        </w:tc>
        <w:tc>
          <w:tcPr>
            <w:tcW w:w="780" w:type="pct"/>
          </w:tcPr>
          <w:p w14:paraId="1D2BDC63" w14:textId="77777777" w:rsidR="00245B37" w:rsidRPr="00245B37" w:rsidRDefault="00245B37" w:rsidP="00245B37">
            <w:pPr>
              <w:rPr>
                <w:sz w:val="18"/>
                <w:szCs w:val="18"/>
              </w:rPr>
            </w:pPr>
            <w:r w:rsidRPr="00245B37">
              <w:rPr>
                <w:sz w:val="18"/>
                <w:szCs w:val="18"/>
              </w:rPr>
              <w:t>Pilot Study of Validation of Testing BRCA 1/2 Mutation Using Next Generation Sequencing</w:t>
            </w:r>
          </w:p>
        </w:tc>
        <w:tc>
          <w:tcPr>
            <w:tcW w:w="1745" w:type="pct"/>
          </w:tcPr>
          <w:p w14:paraId="36B27E23" w14:textId="77777777" w:rsidR="00245B37" w:rsidRPr="00245B37" w:rsidRDefault="00245B37" w:rsidP="00245B37">
            <w:pPr>
              <w:rPr>
                <w:sz w:val="18"/>
                <w:szCs w:val="18"/>
              </w:rPr>
            </w:pPr>
            <w:r w:rsidRPr="00245B37">
              <w:rPr>
                <w:sz w:val="18"/>
                <w:szCs w:val="18"/>
              </w:rPr>
              <w:t>Testing BRCA 1/2 mutation is important for patients with breast cancer, and Sanger sequencing is a standard method to identify BRCA 1/2 mutation. Next generation sequencing (NGS) is a high-throughput parallel sequencing that can provide genetic information with high accuracy. NGS is a faster and cost-effective method to detect gene mutations compared to Sanger sequencing. In this study, we evaluated the clinical role of NGS testing for BRCA 1/2 compared to Sanger sequencing.</w:t>
            </w:r>
          </w:p>
          <w:p w14:paraId="789DC9B8" w14:textId="77777777" w:rsidR="00245B37" w:rsidRPr="00245B37" w:rsidRDefault="00245B37" w:rsidP="00245B37">
            <w:pPr>
              <w:rPr>
                <w:sz w:val="18"/>
                <w:szCs w:val="18"/>
              </w:rPr>
            </w:pPr>
            <w:r w:rsidRPr="00245B37">
              <w:rPr>
                <w:sz w:val="18"/>
                <w:szCs w:val="18"/>
              </w:rPr>
              <w:t xml:space="preserve">Twenty-four paired samples from 12 patients were </w:t>
            </w:r>
            <w:proofErr w:type="spellStart"/>
            <w:r w:rsidRPr="00245B37">
              <w:rPr>
                <w:sz w:val="18"/>
                <w:szCs w:val="18"/>
              </w:rPr>
              <w:t>analyzed</w:t>
            </w:r>
            <w:proofErr w:type="spellEnd"/>
            <w:r w:rsidRPr="00245B37">
              <w:rPr>
                <w:sz w:val="18"/>
                <w:szCs w:val="18"/>
              </w:rPr>
              <w:t xml:space="preserve"> in this prospective study to compare the performance of NGS to the Sanger method. Both NGS and Sanger sequencing were performed in 2 different laboratories using blood samples from patients with breast cancer. We then </w:t>
            </w:r>
            <w:proofErr w:type="spellStart"/>
            <w:r w:rsidRPr="00245B37">
              <w:rPr>
                <w:sz w:val="18"/>
                <w:szCs w:val="18"/>
              </w:rPr>
              <w:t>analyzed</w:t>
            </w:r>
            <w:proofErr w:type="spellEnd"/>
            <w:r w:rsidRPr="00245B37">
              <w:rPr>
                <w:sz w:val="18"/>
                <w:szCs w:val="18"/>
              </w:rPr>
              <w:t xml:space="preserve"> the accuracy of NGS in terms of variant calling and determining concordance rates of </w:t>
            </w:r>
            <w:r w:rsidRPr="00245B37">
              <w:rPr>
                <w:i/>
                <w:iCs/>
                <w:sz w:val="18"/>
                <w:szCs w:val="18"/>
              </w:rPr>
              <w:t>BRCA1/2</w:t>
            </w:r>
            <w:r w:rsidRPr="00245B37">
              <w:rPr>
                <w:sz w:val="18"/>
                <w:szCs w:val="18"/>
              </w:rPr>
              <w:t> mutation detection.</w:t>
            </w:r>
          </w:p>
        </w:tc>
        <w:tc>
          <w:tcPr>
            <w:tcW w:w="1140" w:type="pct"/>
          </w:tcPr>
          <w:p w14:paraId="5850A336" w14:textId="18A21807" w:rsidR="00434781" w:rsidRPr="00245B37" w:rsidRDefault="001F14C5" w:rsidP="00245B37">
            <w:pPr>
              <w:rPr>
                <w:sz w:val="18"/>
                <w:szCs w:val="18"/>
              </w:rPr>
            </w:pPr>
            <w:hyperlink r:id="rId18" w:tooltip="Website link to clinical trials website" w:history="1">
              <w:r w:rsidR="00245B37" w:rsidRPr="00245B37">
                <w:rPr>
                  <w:sz w:val="18"/>
                  <w:szCs w:val="18"/>
                </w:rPr>
                <w:t>https://clinicaltrials.gov/ct2/show/NCT02151747</w:t>
              </w:r>
            </w:hyperlink>
            <w:r>
              <w:rPr>
                <w:sz w:val="18"/>
                <w:szCs w:val="18"/>
              </w:rPr>
              <w:t xml:space="preserve"> </w:t>
            </w:r>
          </w:p>
          <w:p w14:paraId="289222C3" w14:textId="6E422041" w:rsidR="00245B37" w:rsidRDefault="001F14C5" w:rsidP="00245B37">
            <w:pPr>
              <w:rPr>
                <w:sz w:val="18"/>
                <w:szCs w:val="18"/>
              </w:rPr>
            </w:pPr>
            <w:hyperlink r:id="rId19" w:tooltip="Website link to article" w:history="1">
              <w:r w:rsidR="00434781" w:rsidRPr="009413B9">
                <w:rPr>
                  <w:rStyle w:val="Hyperlink"/>
                  <w:sz w:val="18"/>
                  <w:szCs w:val="18"/>
                </w:rPr>
                <w:t>https://www.ncbi.nlm.nih.gov/pmc/articles/PMC5416916/</w:t>
              </w:r>
            </w:hyperlink>
          </w:p>
          <w:p w14:paraId="094C6C02" w14:textId="77777777" w:rsidR="00245B37" w:rsidRPr="00245B37" w:rsidRDefault="00245B37" w:rsidP="00245B37">
            <w:pPr>
              <w:rPr>
                <w:sz w:val="18"/>
                <w:szCs w:val="18"/>
              </w:rPr>
            </w:pPr>
          </w:p>
        </w:tc>
        <w:tc>
          <w:tcPr>
            <w:tcW w:w="812" w:type="pct"/>
          </w:tcPr>
          <w:p w14:paraId="53D8420C" w14:textId="77777777" w:rsidR="00245B37" w:rsidRPr="00245B37" w:rsidRDefault="001F14C5" w:rsidP="00245B37">
            <w:pPr>
              <w:rPr>
                <w:sz w:val="18"/>
                <w:szCs w:val="18"/>
              </w:rPr>
            </w:pPr>
            <w:hyperlink r:id="rId20" w:history="1">
              <w:r w:rsidR="00245B37" w:rsidRPr="00245B37">
                <w:rPr>
                  <w:sz w:val="18"/>
                  <w:szCs w:val="18"/>
                </w:rPr>
                <w:t xml:space="preserve">Ann </w:t>
              </w:r>
              <w:proofErr w:type="spellStart"/>
              <w:r w:rsidR="00245B37" w:rsidRPr="00245B37">
                <w:rPr>
                  <w:sz w:val="18"/>
                  <w:szCs w:val="18"/>
                </w:rPr>
                <w:t>Surg</w:t>
              </w:r>
              <w:proofErr w:type="spellEnd"/>
              <w:r w:rsidR="00245B37" w:rsidRPr="00245B37">
                <w:rPr>
                  <w:sz w:val="18"/>
                  <w:szCs w:val="18"/>
                </w:rPr>
                <w:t xml:space="preserve"> Treat Res</w:t>
              </w:r>
            </w:hyperlink>
            <w:r w:rsidR="00245B37" w:rsidRPr="00245B37">
              <w:rPr>
                <w:sz w:val="18"/>
                <w:szCs w:val="18"/>
              </w:rPr>
              <w:t>. 2017 May; 92(5): 331–339.</w:t>
            </w:r>
          </w:p>
        </w:tc>
      </w:tr>
      <w:tr w:rsidR="00FB1C01" w14:paraId="012F29C6" w14:textId="77777777" w:rsidTr="001A2BB3">
        <w:trPr>
          <w:cantSplit/>
        </w:trPr>
        <w:tc>
          <w:tcPr>
            <w:tcW w:w="123" w:type="pct"/>
          </w:tcPr>
          <w:p w14:paraId="574E792C" w14:textId="2AEB1882" w:rsidR="00DD308E" w:rsidRPr="001A2BB3" w:rsidRDefault="001A2BB3" w:rsidP="00DD308E">
            <w:pPr>
              <w:rPr>
                <w:sz w:val="18"/>
                <w:szCs w:val="18"/>
              </w:rPr>
            </w:pPr>
            <w:r w:rsidRPr="001A2BB3">
              <w:rPr>
                <w:sz w:val="18"/>
                <w:szCs w:val="18"/>
              </w:rPr>
              <w:lastRenderedPageBreak/>
              <w:t>7</w:t>
            </w:r>
          </w:p>
        </w:tc>
        <w:tc>
          <w:tcPr>
            <w:tcW w:w="400" w:type="pct"/>
          </w:tcPr>
          <w:p w14:paraId="788B786E" w14:textId="77777777" w:rsidR="00DD308E" w:rsidRPr="001A2BB3" w:rsidRDefault="00245B37" w:rsidP="00DD308E">
            <w:pPr>
              <w:rPr>
                <w:b/>
                <w:sz w:val="16"/>
                <w:szCs w:val="16"/>
              </w:rPr>
            </w:pPr>
            <w:r w:rsidRPr="001A2BB3">
              <w:rPr>
                <w:sz w:val="16"/>
                <w:szCs w:val="16"/>
              </w:rPr>
              <w:t>Randomised trial</w:t>
            </w:r>
          </w:p>
        </w:tc>
        <w:tc>
          <w:tcPr>
            <w:tcW w:w="780" w:type="pct"/>
          </w:tcPr>
          <w:p w14:paraId="26B125A1" w14:textId="77777777" w:rsidR="00DD308E" w:rsidRDefault="00F56939" w:rsidP="00DD308E">
            <w:pPr>
              <w:rPr>
                <w:sz w:val="18"/>
                <w:szCs w:val="18"/>
              </w:rPr>
            </w:pPr>
            <w:proofErr w:type="spellStart"/>
            <w:r w:rsidRPr="00B46E7F">
              <w:rPr>
                <w:sz w:val="18"/>
                <w:szCs w:val="18"/>
              </w:rPr>
              <w:t>Olaparib</w:t>
            </w:r>
            <w:proofErr w:type="spellEnd"/>
            <w:r w:rsidRPr="00B46E7F">
              <w:rPr>
                <w:sz w:val="18"/>
                <w:szCs w:val="18"/>
              </w:rPr>
              <w:t xml:space="preserve"> for metastatic breast cancer in patients with a Germline </w:t>
            </w:r>
            <w:r w:rsidRPr="00B46E7F">
              <w:rPr>
                <w:i/>
                <w:sz w:val="18"/>
                <w:szCs w:val="18"/>
              </w:rPr>
              <w:t xml:space="preserve">BRCA </w:t>
            </w:r>
            <w:r w:rsidRPr="00B46E7F">
              <w:rPr>
                <w:sz w:val="18"/>
                <w:szCs w:val="18"/>
              </w:rPr>
              <w:t>Mutation</w:t>
            </w:r>
          </w:p>
          <w:p w14:paraId="1997FFEF" w14:textId="4065F3C7" w:rsidR="00E20C1B" w:rsidRPr="00DF5052" w:rsidRDefault="00E20C1B" w:rsidP="00DD308E">
            <w:pPr>
              <w:rPr>
                <w:sz w:val="18"/>
                <w:szCs w:val="18"/>
              </w:rPr>
            </w:pPr>
            <w:r w:rsidRPr="00DF5052">
              <w:rPr>
                <w:bCs/>
                <w:sz w:val="18"/>
                <w:szCs w:val="18"/>
                <w:lang w:val="is-IS"/>
              </w:rPr>
              <w:t>NCT02000622</w:t>
            </w:r>
          </w:p>
        </w:tc>
        <w:tc>
          <w:tcPr>
            <w:tcW w:w="1745" w:type="pct"/>
          </w:tcPr>
          <w:p w14:paraId="774243EB" w14:textId="70A0698E" w:rsidR="00DD308E" w:rsidRPr="00B46E7F" w:rsidRDefault="00DF5052" w:rsidP="00DD308E">
            <w:pPr>
              <w:rPr>
                <w:sz w:val="18"/>
                <w:szCs w:val="18"/>
              </w:rPr>
            </w:pPr>
            <w:r>
              <w:rPr>
                <w:sz w:val="18"/>
                <w:szCs w:val="18"/>
              </w:rPr>
              <w:t>A randomised open-label</w:t>
            </w:r>
            <w:r w:rsidR="00ED41F0" w:rsidRPr="00B46E7F">
              <w:rPr>
                <w:sz w:val="18"/>
                <w:szCs w:val="18"/>
              </w:rPr>
              <w:t xml:space="preserve">, phase 3 trial in which </w:t>
            </w:r>
            <w:proofErr w:type="spellStart"/>
            <w:r w:rsidR="00ED41F0" w:rsidRPr="00B46E7F">
              <w:rPr>
                <w:sz w:val="18"/>
                <w:szCs w:val="18"/>
              </w:rPr>
              <w:t>olaparib</w:t>
            </w:r>
            <w:proofErr w:type="spellEnd"/>
            <w:r w:rsidR="00ED41F0" w:rsidRPr="00B46E7F">
              <w:rPr>
                <w:sz w:val="18"/>
                <w:szCs w:val="18"/>
              </w:rPr>
              <w:t xml:space="preserve"> monotherapy was compared with standard therapy in patients with </w:t>
            </w:r>
            <w:r w:rsidR="00702997" w:rsidRPr="00B46E7F">
              <w:rPr>
                <w:sz w:val="18"/>
                <w:szCs w:val="18"/>
              </w:rPr>
              <w:t>a germline BRCA mutat</w:t>
            </w:r>
            <w:r w:rsidR="00ED41F0" w:rsidRPr="00B46E7F">
              <w:rPr>
                <w:sz w:val="18"/>
                <w:szCs w:val="18"/>
              </w:rPr>
              <w:t xml:space="preserve">ion and human epidermal growth factor receptor type 2 (HER2)-negative metastatic </w:t>
            </w:r>
            <w:r w:rsidR="00702997" w:rsidRPr="00B46E7F">
              <w:rPr>
                <w:sz w:val="18"/>
                <w:szCs w:val="18"/>
              </w:rPr>
              <w:t xml:space="preserve"> breast cancer who had received no more than two previous chemotherapy regimens for metastatic disease. Patients were randomly assigned, in a 2:1 ratio, to receive </w:t>
            </w:r>
            <w:proofErr w:type="spellStart"/>
            <w:r w:rsidR="00702997" w:rsidRPr="00B46E7F">
              <w:rPr>
                <w:sz w:val="18"/>
                <w:szCs w:val="18"/>
              </w:rPr>
              <w:t>olaparib</w:t>
            </w:r>
            <w:proofErr w:type="spellEnd"/>
            <w:r w:rsidR="00702997" w:rsidRPr="00B46E7F">
              <w:rPr>
                <w:sz w:val="18"/>
                <w:szCs w:val="18"/>
              </w:rPr>
              <w:t xml:space="preserve"> tablets (300 mg twice daily) or standard therapy with single-agent chemotherapy of the physician’s choice (</w:t>
            </w:r>
            <w:proofErr w:type="spellStart"/>
            <w:r w:rsidR="00702997" w:rsidRPr="00B46E7F">
              <w:rPr>
                <w:sz w:val="18"/>
                <w:szCs w:val="18"/>
              </w:rPr>
              <w:t>capecitabine</w:t>
            </w:r>
            <w:proofErr w:type="spellEnd"/>
            <w:r w:rsidR="00702997" w:rsidRPr="00B46E7F">
              <w:rPr>
                <w:sz w:val="18"/>
                <w:szCs w:val="18"/>
              </w:rPr>
              <w:t xml:space="preserve">, </w:t>
            </w:r>
            <w:proofErr w:type="spellStart"/>
            <w:r w:rsidR="00702997" w:rsidRPr="00B46E7F">
              <w:rPr>
                <w:sz w:val="18"/>
                <w:szCs w:val="18"/>
              </w:rPr>
              <w:t>eribulin</w:t>
            </w:r>
            <w:proofErr w:type="spellEnd"/>
            <w:r w:rsidR="00702997" w:rsidRPr="00B46E7F">
              <w:rPr>
                <w:sz w:val="18"/>
                <w:szCs w:val="18"/>
              </w:rPr>
              <w:t xml:space="preserve">, or </w:t>
            </w:r>
            <w:proofErr w:type="spellStart"/>
            <w:r w:rsidR="00702997" w:rsidRPr="00B46E7F">
              <w:rPr>
                <w:sz w:val="18"/>
                <w:szCs w:val="18"/>
              </w:rPr>
              <w:t>vinorelbine</w:t>
            </w:r>
            <w:proofErr w:type="spellEnd"/>
            <w:r w:rsidR="00702997" w:rsidRPr="00B46E7F">
              <w:rPr>
                <w:sz w:val="18"/>
                <w:szCs w:val="18"/>
              </w:rPr>
              <w:t xml:space="preserve"> in 21-day cycles). The primary end point was progression-free survival.</w:t>
            </w:r>
          </w:p>
          <w:p w14:paraId="4434953E" w14:textId="77777777" w:rsidR="00702997" w:rsidRPr="00B46E7F" w:rsidRDefault="00702997" w:rsidP="00DD308E">
            <w:pPr>
              <w:rPr>
                <w:b/>
                <w:sz w:val="18"/>
                <w:szCs w:val="18"/>
              </w:rPr>
            </w:pPr>
            <w:r w:rsidRPr="00B46E7F">
              <w:rPr>
                <w:sz w:val="18"/>
                <w:szCs w:val="18"/>
              </w:rPr>
              <w:t xml:space="preserve">Results </w:t>
            </w:r>
            <w:r w:rsidR="00434781" w:rsidRPr="00B46E7F">
              <w:rPr>
                <w:sz w:val="18"/>
                <w:szCs w:val="18"/>
              </w:rPr>
              <w:t>de</w:t>
            </w:r>
            <w:r w:rsidRPr="00B46E7F">
              <w:rPr>
                <w:sz w:val="18"/>
                <w:szCs w:val="18"/>
              </w:rPr>
              <w:t xml:space="preserve">monstrated Median progression-free survival was significantly longer in the </w:t>
            </w:r>
            <w:proofErr w:type="spellStart"/>
            <w:r w:rsidRPr="00B46E7F">
              <w:rPr>
                <w:sz w:val="18"/>
                <w:szCs w:val="18"/>
              </w:rPr>
              <w:t>olaparib</w:t>
            </w:r>
            <w:proofErr w:type="spellEnd"/>
            <w:r w:rsidRPr="00B46E7F">
              <w:rPr>
                <w:sz w:val="18"/>
                <w:szCs w:val="18"/>
              </w:rPr>
              <w:t xml:space="preserve"> group than in the standard-therapy group (7.0 months vs. 4.2 months; hazard ratio for disease progression or death, 0.58; 95% confidence interval, 0.43 to 0.80; P&lt;0.001). The response rate was 59.9% in the </w:t>
            </w:r>
            <w:proofErr w:type="spellStart"/>
            <w:r w:rsidRPr="00B46E7F">
              <w:rPr>
                <w:sz w:val="18"/>
                <w:szCs w:val="18"/>
              </w:rPr>
              <w:t>olaparib</w:t>
            </w:r>
            <w:proofErr w:type="spellEnd"/>
            <w:r w:rsidRPr="00B46E7F">
              <w:rPr>
                <w:sz w:val="18"/>
                <w:szCs w:val="18"/>
              </w:rPr>
              <w:t xml:space="preserve"> group and</w:t>
            </w:r>
            <w:r w:rsidRPr="00B46E7F">
              <w:rPr>
                <w:rFonts w:cs="Arial"/>
                <w:color w:val="333333"/>
                <w:sz w:val="18"/>
                <w:szCs w:val="18"/>
                <w:shd w:val="clear" w:color="auto" w:fill="FFFFFF"/>
              </w:rPr>
              <w:t xml:space="preserve"> </w:t>
            </w:r>
            <w:r w:rsidRPr="00B46E7F">
              <w:rPr>
                <w:rFonts w:cs="Arial"/>
                <w:sz w:val="18"/>
                <w:szCs w:val="18"/>
                <w:shd w:val="clear" w:color="auto" w:fill="FFFFFF"/>
              </w:rPr>
              <w:t xml:space="preserve">28.8% in the standard-therapy group. The rate of grade 3 or higher adverse events was 36.6% in the </w:t>
            </w:r>
            <w:proofErr w:type="spellStart"/>
            <w:r w:rsidRPr="00B46E7F">
              <w:rPr>
                <w:rFonts w:cs="Arial"/>
                <w:sz w:val="18"/>
                <w:szCs w:val="18"/>
                <w:shd w:val="clear" w:color="auto" w:fill="FFFFFF"/>
              </w:rPr>
              <w:t>olaparib</w:t>
            </w:r>
            <w:proofErr w:type="spellEnd"/>
            <w:r w:rsidRPr="00B46E7F">
              <w:rPr>
                <w:rFonts w:cs="Arial"/>
                <w:sz w:val="18"/>
                <w:szCs w:val="18"/>
                <w:shd w:val="clear" w:color="auto" w:fill="FFFFFF"/>
              </w:rPr>
              <w:t xml:space="preserve"> group and 50.5% in the standard-therapy group, and the rate of treatment discontinuation due to toxic effects was 4.9% and 7.7%, respectively.</w:t>
            </w:r>
          </w:p>
        </w:tc>
        <w:tc>
          <w:tcPr>
            <w:tcW w:w="1140" w:type="pct"/>
          </w:tcPr>
          <w:p w14:paraId="304E4391" w14:textId="7E2B204E" w:rsidR="00434781" w:rsidRPr="00B46E7F" w:rsidRDefault="001F14C5" w:rsidP="00DD308E">
            <w:pPr>
              <w:rPr>
                <w:sz w:val="18"/>
                <w:szCs w:val="18"/>
              </w:rPr>
            </w:pPr>
            <w:hyperlink r:id="rId21" w:anchor="t=article" w:tooltip="Website link to article" w:history="1">
              <w:r w:rsidR="00434781" w:rsidRPr="00B46E7F">
                <w:rPr>
                  <w:rStyle w:val="Hyperlink"/>
                  <w:sz w:val="18"/>
                  <w:szCs w:val="18"/>
                </w:rPr>
                <w:t>http://www.nejm.org/doi/full/10.1056/NEJMoa1706450#t=article</w:t>
              </w:r>
            </w:hyperlink>
          </w:p>
          <w:p w14:paraId="4582D590" w14:textId="77777777" w:rsidR="00DD308E" w:rsidRPr="00B46E7F" w:rsidRDefault="00702997" w:rsidP="00DD308E">
            <w:pPr>
              <w:rPr>
                <w:b/>
                <w:sz w:val="18"/>
                <w:szCs w:val="18"/>
              </w:rPr>
            </w:pPr>
            <w:r w:rsidRPr="00B46E7F">
              <w:rPr>
                <w:sz w:val="18"/>
                <w:szCs w:val="18"/>
              </w:rPr>
              <w:t xml:space="preserve"> </w:t>
            </w:r>
          </w:p>
        </w:tc>
        <w:tc>
          <w:tcPr>
            <w:tcW w:w="812" w:type="pct"/>
          </w:tcPr>
          <w:p w14:paraId="4747BE84" w14:textId="77777777" w:rsidR="00DD308E" w:rsidRPr="00B46E7F" w:rsidRDefault="00434781" w:rsidP="00DD308E">
            <w:pPr>
              <w:rPr>
                <w:sz w:val="18"/>
                <w:szCs w:val="18"/>
              </w:rPr>
            </w:pPr>
            <w:r w:rsidRPr="00B46E7F">
              <w:rPr>
                <w:sz w:val="18"/>
                <w:szCs w:val="18"/>
              </w:rPr>
              <w:t xml:space="preserve">Robson et al 2017 </w:t>
            </w:r>
          </w:p>
          <w:p w14:paraId="2664B98D" w14:textId="77777777" w:rsidR="00434781" w:rsidRPr="00B46E7F" w:rsidRDefault="00434781" w:rsidP="00DD308E">
            <w:pPr>
              <w:rPr>
                <w:b/>
                <w:sz w:val="18"/>
                <w:szCs w:val="18"/>
              </w:rPr>
            </w:pPr>
            <w:r w:rsidRPr="00B46E7F">
              <w:rPr>
                <w:rFonts w:cs="Arial"/>
                <w:sz w:val="18"/>
                <w:szCs w:val="18"/>
                <w:shd w:val="clear" w:color="auto" w:fill="FFFFFF"/>
              </w:rPr>
              <w:t>DOI: 10.1056/NEJMoa1706450</w:t>
            </w:r>
          </w:p>
        </w:tc>
      </w:tr>
    </w:tbl>
    <w:p w14:paraId="0962325A"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7325AA0"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1CB6663"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73238CE9" w14:textId="77777777" w:rsidR="00573396" w:rsidRDefault="00573396" w:rsidP="00573396"/>
    <w:p w14:paraId="35E1BDE5"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303EDB13"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25"/>
        <w:gridCol w:w="2537"/>
        <w:gridCol w:w="2872"/>
        <w:gridCol w:w="3889"/>
        <w:gridCol w:w="2466"/>
        <w:gridCol w:w="1485"/>
      </w:tblGrid>
      <w:tr w:rsidR="004C49EF" w14:paraId="183A7026" w14:textId="77777777" w:rsidTr="004D31AB">
        <w:trPr>
          <w:cantSplit/>
          <w:tblHeader/>
        </w:trPr>
        <w:tc>
          <w:tcPr>
            <w:tcW w:w="326" w:type="pct"/>
          </w:tcPr>
          <w:p w14:paraId="76673C6B" w14:textId="77777777" w:rsidR="004C49EF" w:rsidRPr="00441472" w:rsidRDefault="004C49EF" w:rsidP="00855944">
            <w:pPr>
              <w:pStyle w:val="TableHEADER"/>
              <w:rPr>
                <w:sz w:val="18"/>
                <w:szCs w:val="18"/>
              </w:rPr>
            </w:pPr>
          </w:p>
        </w:tc>
        <w:tc>
          <w:tcPr>
            <w:tcW w:w="895" w:type="pct"/>
          </w:tcPr>
          <w:p w14:paraId="7185D0E0" w14:textId="77777777" w:rsidR="004C49EF" w:rsidRDefault="004C49EF" w:rsidP="00855944">
            <w:pPr>
              <w:pStyle w:val="TableHEADER"/>
            </w:pPr>
            <w:r>
              <w:t>Type of study design*</w:t>
            </w:r>
          </w:p>
        </w:tc>
        <w:tc>
          <w:tcPr>
            <w:tcW w:w="1013" w:type="pct"/>
          </w:tcPr>
          <w:p w14:paraId="35AB12E4" w14:textId="77777777" w:rsidR="004C49EF" w:rsidRDefault="004C49EF" w:rsidP="00855944">
            <w:pPr>
              <w:pStyle w:val="TableHEADER"/>
            </w:pPr>
            <w:r>
              <w:t>Title of research (including any trial identifier if relevant)</w:t>
            </w:r>
          </w:p>
        </w:tc>
        <w:tc>
          <w:tcPr>
            <w:tcW w:w="1372" w:type="pct"/>
          </w:tcPr>
          <w:p w14:paraId="7F0095DB" w14:textId="77777777" w:rsidR="004C49EF" w:rsidRDefault="00367C1B" w:rsidP="00855944">
            <w:pPr>
              <w:pStyle w:val="TableHEADER"/>
            </w:pPr>
            <w:r>
              <w:t xml:space="preserve">Short description of research </w:t>
            </w:r>
            <w:r w:rsidR="004C49EF">
              <w:t>(max 50 words)**</w:t>
            </w:r>
          </w:p>
        </w:tc>
        <w:tc>
          <w:tcPr>
            <w:tcW w:w="870" w:type="pct"/>
          </w:tcPr>
          <w:p w14:paraId="5481FB60" w14:textId="77777777" w:rsidR="004C49EF" w:rsidRDefault="004C49EF" w:rsidP="00855944">
            <w:pPr>
              <w:pStyle w:val="TableHEADER"/>
            </w:pPr>
            <w:r w:rsidRPr="00E82F54">
              <w:t xml:space="preserve">Website link to </w:t>
            </w:r>
            <w:r>
              <w:t>research (if available)</w:t>
            </w:r>
          </w:p>
        </w:tc>
        <w:tc>
          <w:tcPr>
            <w:tcW w:w="524" w:type="pct"/>
          </w:tcPr>
          <w:p w14:paraId="199585CB" w14:textId="77777777" w:rsidR="004C49EF" w:rsidRDefault="004C49EF" w:rsidP="00855944">
            <w:pPr>
              <w:pStyle w:val="TableHEADER"/>
            </w:pPr>
            <w:r w:rsidRPr="00E82F54">
              <w:t>Date*</w:t>
            </w:r>
            <w:r>
              <w:t>**</w:t>
            </w:r>
          </w:p>
        </w:tc>
      </w:tr>
      <w:tr w:rsidR="004C49EF" w:rsidRPr="00B46E7F" w14:paraId="16A225DD" w14:textId="77777777" w:rsidTr="004D31AB">
        <w:trPr>
          <w:cantSplit/>
        </w:trPr>
        <w:tc>
          <w:tcPr>
            <w:tcW w:w="326" w:type="pct"/>
          </w:tcPr>
          <w:p w14:paraId="4BEF8A79" w14:textId="015EF9E0" w:rsidR="004C49EF" w:rsidRPr="00441472" w:rsidRDefault="001A2BB3" w:rsidP="00526478">
            <w:pPr>
              <w:rPr>
                <w:sz w:val="18"/>
                <w:szCs w:val="18"/>
              </w:rPr>
            </w:pPr>
            <w:r>
              <w:rPr>
                <w:sz w:val="18"/>
                <w:szCs w:val="18"/>
              </w:rPr>
              <w:t>1</w:t>
            </w:r>
          </w:p>
        </w:tc>
        <w:tc>
          <w:tcPr>
            <w:tcW w:w="895" w:type="pct"/>
          </w:tcPr>
          <w:p w14:paraId="3FA02C08" w14:textId="77777777" w:rsidR="004C49EF" w:rsidRPr="00B46E7F" w:rsidRDefault="00434781" w:rsidP="00526478">
            <w:pPr>
              <w:rPr>
                <w:sz w:val="18"/>
                <w:szCs w:val="18"/>
              </w:rPr>
            </w:pPr>
            <w:r w:rsidRPr="00B46E7F">
              <w:rPr>
                <w:rStyle w:val="hitinf"/>
                <w:bCs/>
                <w:sz w:val="18"/>
                <w:szCs w:val="18"/>
              </w:rPr>
              <w:t xml:space="preserve">Randomised </w:t>
            </w:r>
            <w:r w:rsidR="00A74195" w:rsidRPr="00B46E7F">
              <w:rPr>
                <w:rStyle w:val="hitinf"/>
                <w:bCs/>
                <w:sz w:val="18"/>
                <w:szCs w:val="18"/>
              </w:rPr>
              <w:t>trial</w:t>
            </w:r>
          </w:p>
        </w:tc>
        <w:tc>
          <w:tcPr>
            <w:tcW w:w="1013" w:type="pct"/>
            <w:shd w:val="clear" w:color="auto" w:fill="auto"/>
          </w:tcPr>
          <w:p w14:paraId="7EC61435" w14:textId="77777777" w:rsidR="004C49EF" w:rsidRPr="00B46E7F" w:rsidRDefault="00434781" w:rsidP="00251943">
            <w:pPr>
              <w:pBdr>
                <w:bottom w:val="single" w:sz="6" w:space="9" w:color="DADADA"/>
              </w:pBdr>
              <w:rPr>
                <w:rFonts w:cs="Arial"/>
                <w:color w:val="000000"/>
                <w:sz w:val="18"/>
                <w:szCs w:val="18"/>
              </w:rPr>
            </w:pPr>
            <w:proofErr w:type="spellStart"/>
            <w:r w:rsidRPr="00B46E7F">
              <w:rPr>
                <w:rStyle w:val="hitinf"/>
                <w:rFonts w:cs="Arial"/>
                <w:bCs/>
                <w:color w:val="000000"/>
                <w:sz w:val="18"/>
                <w:szCs w:val="18"/>
              </w:rPr>
              <w:t>Olaparib</w:t>
            </w:r>
            <w:proofErr w:type="spellEnd"/>
            <w:r w:rsidRPr="00B46E7F">
              <w:rPr>
                <w:rStyle w:val="hitinf"/>
                <w:bCs/>
                <w:sz w:val="18"/>
                <w:szCs w:val="18"/>
              </w:rPr>
              <w:t> as Adjuvant Treatment in Patients With Germline BRCA Mutated High Risk HER2 Negative Primary </w:t>
            </w:r>
            <w:r w:rsidRPr="00B46E7F">
              <w:rPr>
                <w:rStyle w:val="hitinf"/>
                <w:rFonts w:cs="Arial"/>
                <w:bCs/>
                <w:color w:val="000000"/>
                <w:sz w:val="18"/>
                <w:szCs w:val="18"/>
              </w:rPr>
              <w:t>Breast Cancer</w:t>
            </w:r>
            <w:r w:rsidRPr="00B46E7F">
              <w:rPr>
                <w:rStyle w:val="hitinf"/>
                <w:bCs/>
                <w:sz w:val="18"/>
                <w:szCs w:val="18"/>
              </w:rPr>
              <w:t> (</w:t>
            </w:r>
            <w:proofErr w:type="spellStart"/>
            <w:r w:rsidRPr="00B46E7F">
              <w:rPr>
                <w:rStyle w:val="hitinf"/>
                <w:bCs/>
                <w:sz w:val="18"/>
                <w:szCs w:val="18"/>
              </w:rPr>
              <w:t>OlympiA</w:t>
            </w:r>
            <w:proofErr w:type="spellEnd"/>
            <w:r w:rsidRPr="00B46E7F">
              <w:rPr>
                <w:rStyle w:val="hitinf"/>
                <w:bCs/>
                <w:sz w:val="18"/>
                <w:szCs w:val="18"/>
              </w:rPr>
              <w:t>)</w:t>
            </w:r>
          </w:p>
        </w:tc>
        <w:tc>
          <w:tcPr>
            <w:tcW w:w="1372" w:type="pct"/>
          </w:tcPr>
          <w:p w14:paraId="10022546" w14:textId="77777777" w:rsidR="00251943" w:rsidRPr="00B46E7F" w:rsidRDefault="00434781" w:rsidP="00251943">
            <w:pPr>
              <w:spacing w:before="0" w:after="0"/>
              <w:rPr>
                <w:sz w:val="18"/>
                <w:szCs w:val="18"/>
              </w:rPr>
            </w:pPr>
            <w:proofErr w:type="spellStart"/>
            <w:r w:rsidRPr="00B46E7F">
              <w:rPr>
                <w:rStyle w:val="hitinf"/>
                <w:rFonts w:cs="Arial"/>
                <w:bCs/>
                <w:color w:val="000000"/>
                <w:sz w:val="18"/>
                <w:szCs w:val="18"/>
              </w:rPr>
              <w:t>Olaparib</w:t>
            </w:r>
            <w:proofErr w:type="spellEnd"/>
            <w:r w:rsidRPr="00B46E7F">
              <w:rPr>
                <w:rFonts w:cs="Arial"/>
                <w:color w:val="000000"/>
                <w:sz w:val="18"/>
                <w:szCs w:val="18"/>
              </w:rPr>
              <w:t> </w:t>
            </w:r>
            <w:r w:rsidRPr="00B46E7F">
              <w:rPr>
                <w:rFonts w:cs="Arial"/>
                <w:color w:val="000000"/>
                <w:sz w:val="18"/>
                <w:szCs w:val="18"/>
                <w:shd w:val="clear" w:color="auto" w:fill="FFFFFF"/>
              </w:rPr>
              <w:t>treatment in patients with germline BRCA1/2 mutations and high risk HER2 negative primary breast cancer who have completed definitive local treatment and neoadjuvant or adjuvant chemotherapy</w:t>
            </w:r>
            <w:r w:rsidRPr="00B46E7F">
              <w:rPr>
                <w:sz w:val="18"/>
                <w:szCs w:val="18"/>
              </w:rPr>
              <w:t xml:space="preserve"> </w:t>
            </w:r>
            <w:r w:rsidR="00251943" w:rsidRPr="00B46E7F">
              <w:rPr>
                <w:sz w:val="18"/>
                <w:szCs w:val="18"/>
              </w:rPr>
              <w:t xml:space="preserve">. </w:t>
            </w:r>
          </w:p>
          <w:p w14:paraId="3D5CB730" w14:textId="77777777" w:rsidR="00251943" w:rsidRPr="00B46E7F" w:rsidRDefault="00251943" w:rsidP="00251943">
            <w:pPr>
              <w:spacing w:before="0" w:after="0"/>
              <w:rPr>
                <w:rFonts w:eastAsia="Times New Roman" w:cs="Times New Roman"/>
                <w:sz w:val="18"/>
                <w:szCs w:val="18"/>
                <w:lang w:eastAsia="en-AU"/>
              </w:rPr>
            </w:pPr>
            <w:r w:rsidRPr="00B46E7F">
              <w:rPr>
                <w:rFonts w:eastAsia="Times New Roman" w:cs="Arial"/>
                <w:color w:val="000000"/>
                <w:sz w:val="18"/>
                <w:szCs w:val="18"/>
                <w:shd w:val="clear" w:color="auto" w:fill="FFFFFF"/>
                <w:lang w:eastAsia="en-AU"/>
              </w:rPr>
              <w:t>Primary Outcome Measures:</w:t>
            </w:r>
          </w:p>
          <w:p w14:paraId="28EC6E3A" w14:textId="77777777" w:rsidR="00251943" w:rsidRPr="00B46E7F" w:rsidRDefault="00251943" w:rsidP="00251943">
            <w:pPr>
              <w:numPr>
                <w:ilvl w:val="0"/>
                <w:numId w:val="18"/>
              </w:numPr>
              <w:shd w:val="clear" w:color="auto" w:fill="FFFFFF"/>
              <w:spacing w:before="0" w:after="0"/>
              <w:ind w:left="0"/>
              <w:rPr>
                <w:rFonts w:eastAsia="Times New Roman" w:cs="Arial"/>
                <w:color w:val="000000"/>
                <w:sz w:val="18"/>
                <w:szCs w:val="18"/>
                <w:lang w:eastAsia="en-AU"/>
              </w:rPr>
            </w:pPr>
            <w:r w:rsidRPr="00B46E7F">
              <w:rPr>
                <w:rFonts w:eastAsia="Times New Roman" w:cs="Arial"/>
                <w:color w:val="000000"/>
                <w:sz w:val="18"/>
                <w:szCs w:val="18"/>
                <w:lang w:eastAsia="en-AU"/>
              </w:rPr>
              <w:t>Invasive Disease Free Survival (IDFS) [ Time Frame: Up to 10 years ]</w:t>
            </w:r>
          </w:p>
          <w:p w14:paraId="114D6CFB" w14:textId="77777777" w:rsidR="004C49EF" w:rsidRPr="00B46E7F" w:rsidRDefault="00251943" w:rsidP="00251943">
            <w:pPr>
              <w:shd w:val="clear" w:color="auto" w:fill="FFFFFF"/>
              <w:spacing w:before="0" w:after="0"/>
              <w:rPr>
                <w:rFonts w:eastAsia="Times New Roman" w:cs="Arial"/>
                <w:color w:val="000000"/>
                <w:sz w:val="18"/>
                <w:szCs w:val="18"/>
                <w:lang w:eastAsia="en-AU"/>
              </w:rPr>
            </w:pPr>
            <w:r w:rsidRPr="00B46E7F">
              <w:rPr>
                <w:rFonts w:eastAsia="Times New Roman" w:cs="Arial"/>
                <w:color w:val="000000"/>
                <w:sz w:val="18"/>
                <w:szCs w:val="18"/>
                <w:lang w:eastAsia="en-AU"/>
              </w:rPr>
              <w:t>Time from randomisation to date of first treatment failure that is loco-regional or distant recurrence or new cancer or death from any cause</w:t>
            </w:r>
          </w:p>
        </w:tc>
        <w:tc>
          <w:tcPr>
            <w:tcW w:w="870" w:type="pct"/>
          </w:tcPr>
          <w:p w14:paraId="625A9EB7" w14:textId="77777777" w:rsidR="00251943" w:rsidRPr="00B46E7F" w:rsidRDefault="00251943" w:rsidP="00251943">
            <w:pPr>
              <w:shd w:val="clear" w:color="auto" w:fill="FFFFFF"/>
              <w:spacing w:before="0" w:after="0"/>
              <w:rPr>
                <w:rFonts w:eastAsia="Times New Roman" w:cs="Arial"/>
                <w:bCs/>
                <w:color w:val="000000"/>
                <w:sz w:val="18"/>
                <w:szCs w:val="18"/>
                <w:lang w:eastAsia="en-AU"/>
              </w:rPr>
            </w:pPr>
            <w:r w:rsidRPr="00B46E7F">
              <w:rPr>
                <w:rFonts w:eastAsia="Times New Roman" w:cs="Arial"/>
                <w:bCs/>
                <w:color w:val="000000"/>
                <w:sz w:val="18"/>
                <w:szCs w:val="18"/>
                <w:lang w:eastAsia="en-AU"/>
              </w:rPr>
              <w:t>ClinicalTrials.gov Identifier:</w:t>
            </w:r>
          </w:p>
          <w:p w14:paraId="4987C1E6" w14:textId="77777777" w:rsidR="00251943" w:rsidRPr="00B46E7F" w:rsidRDefault="00251943" w:rsidP="00251943">
            <w:pPr>
              <w:shd w:val="clear" w:color="auto" w:fill="FFFFFF"/>
              <w:spacing w:before="0"/>
              <w:rPr>
                <w:rFonts w:eastAsia="Times New Roman" w:cs="Arial"/>
                <w:color w:val="000000"/>
                <w:sz w:val="18"/>
                <w:szCs w:val="18"/>
                <w:lang w:eastAsia="en-AU"/>
              </w:rPr>
            </w:pPr>
            <w:r w:rsidRPr="00B46E7F">
              <w:rPr>
                <w:rFonts w:eastAsia="Times New Roman" w:cs="Arial"/>
                <w:color w:val="000000"/>
                <w:sz w:val="18"/>
                <w:szCs w:val="18"/>
                <w:lang w:eastAsia="en-AU"/>
              </w:rPr>
              <w:t>NCT02032823</w:t>
            </w:r>
          </w:p>
          <w:p w14:paraId="78267236" w14:textId="77777777" w:rsidR="00251943" w:rsidRPr="00B46E7F" w:rsidRDefault="00251943" w:rsidP="00251943">
            <w:pPr>
              <w:shd w:val="clear" w:color="auto" w:fill="FFFFFF"/>
              <w:spacing w:before="0"/>
              <w:rPr>
                <w:rFonts w:eastAsia="Times New Roman" w:cs="Arial"/>
                <w:color w:val="000000"/>
                <w:sz w:val="18"/>
                <w:szCs w:val="18"/>
                <w:lang w:eastAsia="en-AU"/>
              </w:rPr>
            </w:pPr>
          </w:p>
          <w:p w14:paraId="75F883C4" w14:textId="77777777" w:rsidR="004C49EF" w:rsidRPr="00B46E7F" w:rsidRDefault="004C49EF" w:rsidP="00526478">
            <w:pPr>
              <w:rPr>
                <w:b/>
                <w:sz w:val="18"/>
                <w:szCs w:val="18"/>
              </w:rPr>
            </w:pPr>
          </w:p>
        </w:tc>
        <w:tc>
          <w:tcPr>
            <w:tcW w:w="524" w:type="pct"/>
          </w:tcPr>
          <w:p w14:paraId="59E3E3AC" w14:textId="5F39D368" w:rsidR="004C49EF" w:rsidRPr="00B46E7F" w:rsidRDefault="001A2BB3" w:rsidP="00526478">
            <w:pPr>
              <w:rPr>
                <w:b/>
                <w:sz w:val="18"/>
                <w:szCs w:val="18"/>
              </w:rPr>
            </w:pPr>
            <w:r>
              <w:rPr>
                <w:sz w:val="18"/>
                <w:szCs w:val="18"/>
              </w:rPr>
              <w:t>Yet to be published</w:t>
            </w:r>
          </w:p>
        </w:tc>
      </w:tr>
    </w:tbl>
    <w:p w14:paraId="1FE459FE"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65D3BAB"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1C6D329"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39F7CAD"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687EB5D6"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012CD66"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C5EA928" w14:textId="77777777" w:rsidR="0055531C" w:rsidRDefault="0055531C" w:rsidP="00A727B6">
      <w:pPr>
        <w:ind w:left="426"/>
      </w:pPr>
      <w:r>
        <w:t>The Royal College of Pathologist of Australasia</w:t>
      </w:r>
    </w:p>
    <w:p w14:paraId="668C3AF8" w14:textId="4A1687C4" w:rsidR="00AD657B" w:rsidRDefault="00AD657B" w:rsidP="00A727B6">
      <w:pPr>
        <w:ind w:left="426"/>
      </w:pPr>
      <w:r>
        <w:t xml:space="preserve">A statement of </w:t>
      </w:r>
      <w:r w:rsidR="00FD5091">
        <w:t xml:space="preserve">clinical relevance </w:t>
      </w:r>
      <w:r>
        <w:t>for the proposed medi</w:t>
      </w:r>
      <w:r w:rsidR="001A2BB3">
        <w:t xml:space="preserve">cal service has been request and will be send separately to this </w:t>
      </w:r>
      <w:r>
        <w:t>application</w:t>
      </w:r>
    </w:p>
    <w:p w14:paraId="2CBF3B53" w14:textId="77777777" w:rsidR="00A727B6" w:rsidRPr="00A727B6" w:rsidRDefault="00A727B6" w:rsidP="00A727B6">
      <w:pPr>
        <w:ind w:left="426"/>
      </w:pPr>
      <w:r>
        <w:fldChar w:fldCharType="begin">
          <w:ffData>
            <w:name w:val=""/>
            <w:enabled/>
            <w:calcOnExit w:val="0"/>
            <w:textInput>
              <w:default w:val="List all professional bodies here"/>
            </w:textInput>
          </w:ffData>
        </w:fldChar>
      </w:r>
      <w:r>
        <w:instrText xml:space="preserve"> FORMTEXT </w:instrText>
      </w:r>
      <w:r>
        <w:fldChar w:fldCharType="separate"/>
      </w:r>
      <w:r>
        <w:rPr>
          <w:noProof/>
        </w:rPr>
        <w:t>List all professional bodies here</w:t>
      </w:r>
      <w:r>
        <w:fldChar w:fldCharType="end"/>
      </w:r>
    </w:p>
    <w:p w14:paraId="3F53A2F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r w:rsidR="0055531C">
        <w:t xml:space="preserve"> </w:t>
      </w:r>
      <w:r w:rsidR="0055531C" w:rsidRPr="0055531C">
        <w:rPr>
          <w:b w:val="0"/>
        </w:rPr>
        <w:t>Not applicable</w:t>
      </w:r>
    </w:p>
    <w:p w14:paraId="069F9FF9" w14:textId="77777777" w:rsidR="00EA173C" w:rsidRDefault="00A727B6" w:rsidP="00A727B6">
      <w:pPr>
        <w:ind w:left="426"/>
      </w:pPr>
      <w:r>
        <w:fldChar w:fldCharType="begin">
          <w:ffData>
            <w:name w:val=""/>
            <w:enabled/>
            <w:calcOnExit w:val="0"/>
            <w:textInput>
              <w:default w:val="List professional bodies here"/>
            </w:textInput>
          </w:ffData>
        </w:fldChar>
      </w:r>
      <w:r>
        <w:instrText xml:space="preserve"> FORMTEXT </w:instrText>
      </w:r>
      <w:r>
        <w:fldChar w:fldCharType="separate"/>
      </w:r>
      <w:r>
        <w:rPr>
          <w:noProof/>
        </w:rPr>
        <w:t>List professional bodies here</w:t>
      </w:r>
      <w:r>
        <w:fldChar w:fldCharType="end"/>
      </w:r>
    </w:p>
    <w:p w14:paraId="34C8B673" w14:textId="77777777" w:rsidR="00E82F54"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30C2CF3" w14:textId="77777777" w:rsidR="0055531C" w:rsidRDefault="0055531C" w:rsidP="0055531C">
      <w:pPr>
        <w:ind w:left="360"/>
      </w:pPr>
      <w:r>
        <w:t xml:space="preserve">The Breast Cancer Network of Australia </w:t>
      </w:r>
      <w:r w:rsidR="00AD657B">
        <w:t xml:space="preserve">(BCNA). </w:t>
      </w:r>
    </w:p>
    <w:p w14:paraId="55253194" w14:textId="77777777" w:rsidR="00AD657B" w:rsidRPr="00AD657B" w:rsidRDefault="00AD657B" w:rsidP="00727DBF">
      <w:pPr>
        <w:ind w:left="360"/>
        <w:jc w:val="both"/>
      </w:pPr>
      <w:r w:rsidRPr="00AD657B">
        <w:t>BCNA is the peak national organisation for Australians affected by breast cancer, and consists of a network of more than 120,000 members and 288 Member Grou</w:t>
      </w:r>
      <w:r>
        <w:t>ps. More than 90 per cent of</w:t>
      </w:r>
      <w:r w:rsidRPr="00AD657B">
        <w:t xml:space="preserve"> members have had a diagnosis of breast cancer.</w:t>
      </w:r>
      <w:r>
        <w:t xml:space="preserve">  </w:t>
      </w:r>
      <w:r w:rsidRPr="00AD657B">
        <w:t>BCNA works to ensure that Australians affected by breast cancer receive the very best support, information, treatment and care appropriate to their individual needs</w:t>
      </w:r>
      <w:r>
        <w:t>.</w:t>
      </w:r>
    </w:p>
    <w:p w14:paraId="0EEBE9AA" w14:textId="77777777" w:rsidR="00AD657B" w:rsidRPr="0055531C" w:rsidRDefault="00AD657B" w:rsidP="00727DBF">
      <w:pPr>
        <w:ind w:left="360"/>
        <w:jc w:val="both"/>
      </w:pPr>
      <w:r>
        <w:t>A letter of support from BCNA is attached to this application</w:t>
      </w:r>
    </w:p>
    <w:p w14:paraId="0B6FCBA5" w14:textId="77777777" w:rsidR="00E82F54" w:rsidRDefault="00A727B6" w:rsidP="00A727B6">
      <w:pPr>
        <w:ind w:left="426"/>
        <w:rPr>
          <w:szCs w:val="20"/>
        </w:rPr>
      </w:pPr>
      <w:r>
        <w:fldChar w:fldCharType="begin">
          <w:ffData>
            <w:name w:val=""/>
            <w:enabled/>
            <w:calcOnExit w:val="0"/>
            <w:textInput>
              <w:default w:val="List relevant consumer organisations here"/>
            </w:textInput>
          </w:ffData>
        </w:fldChar>
      </w:r>
      <w:r>
        <w:instrText xml:space="preserve"> FORMTEXT </w:instrText>
      </w:r>
      <w:r>
        <w:fldChar w:fldCharType="separate"/>
      </w:r>
      <w:r>
        <w:rPr>
          <w:noProof/>
        </w:rPr>
        <w:t>List relevant consumer organisations here</w:t>
      </w:r>
      <w:r>
        <w:fldChar w:fldCharType="end"/>
      </w:r>
    </w:p>
    <w:p w14:paraId="5AE424D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D66839A" w14:textId="77777777" w:rsidR="008D7553" w:rsidRDefault="007E7F4C" w:rsidP="00EE6450">
      <w:pPr>
        <w:ind w:left="426"/>
      </w:pPr>
      <w:r>
        <w:t xml:space="preserve">There is no single sponsor for germline </w:t>
      </w:r>
      <w:proofErr w:type="spellStart"/>
      <w:r w:rsidRPr="003D2590">
        <w:rPr>
          <w:i/>
        </w:rPr>
        <w:t>BRCA</w:t>
      </w:r>
      <w:r>
        <w:t>m</w:t>
      </w:r>
      <w:proofErr w:type="spellEnd"/>
      <w:r>
        <w:t xml:space="preserve"> testing in Australia.  </w:t>
      </w:r>
    </w:p>
    <w:p w14:paraId="60D3A4ED" w14:textId="77777777" w:rsidR="00EE6450" w:rsidRDefault="00EE6450" w:rsidP="00EE6450">
      <w:pPr>
        <w:ind w:left="426"/>
        <w:rPr>
          <w:szCs w:val="20"/>
        </w:rPr>
      </w:pPr>
      <w:r>
        <w:fldChar w:fldCharType="begin">
          <w:ffData>
            <w:name w:val=""/>
            <w:enabled/>
            <w:calcOnExit w:val="0"/>
            <w:textInput>
              <w:default w:val="List relevant sponsor/s and or manufacturer/s here"/>
            </w:textInput>
          </w:ffData>
        </w:fldChar>
      </w:r>
      <w:r>
        <w:instrText xml:space="preserve"> FORMTEXT </w:instrText>
      </w:r>
      <w:r>
        <w:fldChar w:fldCharType="separate"/>
      </w:r>
      <w:r>
        <w:rPr>
          <w:noProof/>
        </w:rPr>
        <w:t>List relevant sponsor/s and or manufacturer/s here</w:t>
      </w:r>
      <w:r>
        <w:fldChar w:fldCharType="end"/>
      </w:r>
    </w:p>
    <w:p w14:paraId="326B0D36" w14:textId="77777777" w:rsidR="00E82F54" w:rsidRDefault="00E82F54" w:rsidP="00530204">
      <w:pPr>
        <w:pStyle w:val="Heading2"/>
      </w:pPr>
      <w:r w:rsidRPr="00154B00">
        <w:t>Nominate two experts who could be approached about the proposed medical service and the current clinical management of the service(s):</w:t>
      </w:r>
      <w:r w:rsidR="0055531C">
        <w:t xml:space="preserve"> </w:t>
      </w:r>
      <w:r w:rsidR="0055531C" w:rsidRPr="0055531C">
        <w:rPr>
          <w:b w:val="0"/>
        </w:rPr>
        <w:t>Not required as per email correspondence with MSA</w:t>
      </w:r>
      <w:r w:rsidR="007E7F4C">
        <w:rPr>
          <w:b w:val="0"/>
        </w:rPr>
        <w:t>C</w:t>
      </w:r>
      <w:r w:rsidR="0055531C" w:rsidRPr="0055531C">
        <w:rPr>
          <w:b w:val="0"/>
        </w:rPr>
        <w:t xml:space="preserve"> Secretariat</w:t>
      </w:r>
      <w:r w:rsidR="00AD657B">
        <w:rPr>
          <w:b w:val="0"/>
        </w:rPr>
        <w:t xml:space="preserve">. </w:t>
      </w:r>
    </w:p>
    <w:p w14:paraId="4FE6A6C9" w14:textId="77777777" w:rsidR="00A96329" w:rsidRPr="00A96329" w:rsidRDefault="00A96329" w:rsidP="00A96329"/>
    <w:p w14:paraId="5E994283" w14:textId="77777777" w:rsidR="00987ABE" w:rsidRPr="00987ABE" w:rsidRDefault="00987ABE" w:rsidP="00987ABE">
      <w:pPr>
        <w:ind w:left="426"/>
        <w:rPr>
          <w:szCs w:val="20"/>
        </w:rPr>
      </w:pPr>
      <w:r>
        <w:rPr>
          <w:szCs w:val="20"/>
        </w:rPr>
        <w:t xml:space="preserve">Name of expert 1: </w:t>
      </w:r>
      <w:r>
        <w:fldChar w:fldCharType="begin">
          <w:ffData>
            <w:name w:val=""/>
            <w:enabled/>
            <w:calcOnExit w:val="0"/>
            <w:textInput>
              <w:default w:val="Insert name here"/>
            </w:textInput>
          </w:ffData>
        </w:fldChar>
      </w:r>
      <w:r>
        <w:instrText xml:space="preserve"> FORMTEXT </w:instrText>
      </w:r>
      <w:r>
        <w:fldChar w:fldCharType="separate"/>
      </w:r>
      <w:r>
        <w:rPr>
          <w:noProof/>
        </w:rPr>
        <w:t>Insert name here</w:t>
      </w:r>
      <w:r>
        <w:fldChar w:fldCharType="end"/>
      </w:r>
    </w:p>
    <w:p w14:paraId="38997F18" w14:textId="77777777" w:rsidR="00987ABE" w:rsidRPr="00987ABE" w:rsidRDefault="00987ABE" w:rsidP="00987ABE">
      <w:pPr>
        <w:ind w:left="426"/>
        <w:rPr>
          <w:szCs w:val="20"/>
        </w:rPr>
      </w:pPr>
      <w:r>
        <w:rPr>
          <w:szCs w:val="20"/>
        </w:rPr>
        <w:t xml:space="preserve">Telephone number(s): </w:t>
      </w:r>
      <w:r>
        <w:fldChar w:fldCharType="begin">
          <w:ffData>
            <w:name w:val=""/>
            <w:enabled/>
            <w:calcOnExit w:val="0"/>
            <w:textInput>
              <w:default w:val="Insert phone number/s here"/>
            </w:textInput>
          </w:ffData>
        </w:fldChar>
      </w:r>
      <w:r>
        <w:instrText xml:space="preserve"> FORMTEXT </w:instrText>
      </w:r>
      <w:r>
        <w:fldChar w:fldCharType="separate"/>
      </w:r>
      <w:r>
        <w:rPr>
          <w:noProof/>
        </w:rPr>
        <w:t>Insert phone number/s here</w:t>
      </w:r>
      <w:r>
        <w:fldChar w:fldCharType="end"/>
      </w:r>
    </w:p>
    <w:p w14:paraId="73AD9DF2" w14:textId="77777777" w:rsidR="00987ABE" w:rsidRPr="00987ABE" w:rsidRDefault="00987ABE" w:rsidP="00987ABE">
      <w:pPr>
        <w:ind w:left="426"/>
        <w:rPr>
          <w:szCs w:val="20"/>
        </w:rPr>
      </w:pPr>
      <w:r>
        <w:rPr>
          <w:szCs w:val="20"/>
        </w:rPr>
        <w:t xml:space="preserve">Email address: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14:paraId="66915222" w14:textId="77777777" w:rsidR="00987ABE" w:rsidRPr="00987ABE" w:rsidRDefault="00987ABE" w:rsidP="00987ABE">
      <w:pPr>
        <w:ind w:left="426"/>
        <w:rPr>
          <w:szCs w:val="20"/>
        </w:rPr>
      </w:pPr>
      <w:r>
        <w:rPr>
          <w:szCs w:val="20"/>
        </w:rPr>
        <w:t xml:space="preserve">Justification of expertise: </w:t>
      </w:r>
      <w:r>
        <w:fldChar w:fldCharType="begin">
          <w:ffData>
            <w:name w:val=""/>
            <w:enabled/>
            <w:calcOnExit w:val="0"/>
            <w:textInput>
              <w:default w:val="Insert a justification of expertise here"/>
            </w:textInput>
          </w:ffData>
        </w:fldChar>
      </w:r>
      <w:r>
        <w:instrText xml:space="preserve"> FORMTEXT </w:instrText>
      </w:r>
      <w:r>
        <w:fldChar w:fldCharType="separate"/>
      </w:r>
      <w:r>
        <w:rPr>
          <w:noProof/>
        </w:rPr>
        <w:t>Insert a justification of expertise here</w:t>
      </w:r>
      <w:r>
        <w:fldChar w:fldCharType="end"/>
      </w:r>
    </w:p>
    <w:p w14:paraId="7008E10D" w14:textId="77777777" w:rsidR="00987ABE" w:rsidRPr="00987ABE" w:rsidRDefault="00987ABE" w:rsidP="00987ABE">
      <w:pPr>
        <w:ind w:left="426"/>
        <w:rPr>
          <w:szCs w:val="20"/>
        </w:rPr>
      </w:pPr>
    </w:p>
    <w:p w14:paraId="1FAEB5D9" w14:textId="77777777" w:rsidR="00987ABE" w:rsidRPr="00987ABE" w:rsidRDefault="00987ABE" w:rsidP="00987ABE">
      <w:pPr>
        <w:ind w:left="426"/>
        <w:rPr>
          <w:szCs w:val="20"/>
        </w:rPr>
      </w:pPr>
      <w:r>
        <w:rPr>
          <w:szCs w:val="20"/>
        </w:rPr>
        <w:t xml:space="preserve">Name of expert 2: </w:t>
      </w:r>
      <w:r>
        <w:fldChar w:fldCharType="begin">
          <w:ffData>
            <w:name w:val=""/>
            <w:enabled/>
            <w:calcOnExit w:val="0"/>
            <w:textInput>
              <w:default w:val="Insert name here"/>
            </w:textInput>
          </w:ffData>
        </w:fldChar>
      </w:r>
      <w:r>
        <w:instrText xml:space="preserve"> FORMTEXT </w:instrText>
      </w:r>
      <w:r>
        <w:fldChar w:fldCharType="separate"/>
      </w:r>
      <w:r>
        <w:rPr>
          <w:noProof/>
        </w:rPr>
        <w:t>Insert name here</w:t>
      </w:r>
      <w:r>
        <w:fldChar w:fldCharType="end"/>
      </w:r>
    </w:p>
    <w:p w14:paraId="0C82FEB5" w14:textId="77777777" w:rsidR="00987ABE" w:rsidRPr="00987ABE" w:rsidRDefault="00987ABE" w:rsidP="00987ABE">
      <w:pPr>
        <w:ind w:left="426"/>
        <w:rPr>
          <w:szCs w:val="20"/>
        </w:rPr>
      </w:pPr>
      <w:r>
        <w:rPr>
          <w:szCs w:val="20"/>
        </w:rPr>
        <w:t xml:space="preserve">Telephone number(s): </w:t>
      </w:r>
      <w:r>
        <w:fldChar w:fldCharType="begin">
          <w:ffData>
            <w:name w:val=""/>
            <w:enabled/>
            <w:calcOnExit w:val="0"/>
            <w:textInput>
              <w:default w:val="Insert phone number/s here"/>
            </w:textInput>
          </w:ffData>
        </w:fldChar>
      </w:r>
      <w:r>
        <w:instrText xml:space="preserve"> FORMTEXT </w:instrText>
      </w:r>
      <w:r>
        <w:fldChar w:fldCharType="separate"/>
      </w:r>
      <w:r>
        <w:rPr>
          <w:noProof/>
        </w:rPr>
        <w:t>Insert phone number/s here</w:t>
      </w:r>
      <w:r>
        <w:fldChar w:fldCharType="end"/>
      </w:r>
    </w:p>
    <w:p w14:paraId="18721410" w14:textId="77777777" w:rsidR="00987ABE" w:rsidRPr="00987ABE" w:rsidRDefault="00987ABE" w:rsidP="00987ABE">
      <w:pPr>
        <w:ind w:left="426"/>
        <w:rPr>
          <w:szCs w:val="20"/>
        </w:rPr>
      </w:pPr>
      <w:r>
        <w:rPr>
          <w:szCs w:val="20"/>
        </w:rPr>
        <w:t xml:space="preserve">Email address: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14:paraId="6B786707" w14:textId="77777777" w:rsidR="00E82F54" w:rsidRPr="00154B00" w:rsidRDefault="00987ABE" w:rsidP="00987ABE">
      <w:pPr>
        <w:ind w:left="426"/>
        <w:rPr>
          <w:szCs w:val="20"/>
        </w:rPr>
      </w:pPr>
      <w:r>
        <w:rPr>
          <w:szCs w:val="20"/>
        </w:rPr>
        <w:t xml:space="preserve">Justification of expertise: </w:t>
      </w:r>
      <w:r>
        <w:fldChar w:fldCharType="begin">
          <w:ffData>
            <w:name w:val=""/>
            <w:enabled/>
            <w:calcOnExit w:val="0"/>
            <w:textInput>
              <w:default w:val="Insert a justification of expertise here"/>
            </w:textInput>
          </w:ffData>
        </w:fldChar>
      </w:r>
      <w:r>
        <w:instrText xml:space="preserve"> FORMTEXT </w:instrText>
      </w:r>
      <w:r>
        <w:fldChar w:fldCharType="separate"/>
      </w:r>
      <w:r>
        <w:rPr>
          <w:noProof/>
        </w:rPr>
        <w:t>Insert a justification of expertise here</w:t>
      </w:r>
      <w:r>
        <w:fldChar w:fldCharType="end"/>
      </w:r>
    </w:p>
    <w:p w14:paraId="051560BF" w14:textId="77777777" w:rsidR="00987ABE" w:rsidRDefault="00987ABE" w:rsidP="00E82F54">
      <w:pPr>
        <w:ind w:left="426"/>
        <w:rPr>
          <w:i/>
          <w:szCs w:val="20"/>
        </w:rPr>
      </w:pPr>
    </w:p>
    <w:p w14:paraId="202D33C4"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01279869" w14:textId="4C8A6337" w:rsidR="003433D1" w:rsidRDefault="003433D1">
      <w:pPr>
        <w:rPr>
          <w:b/>
          <w:sz w:val="32"/>
          <w:szCs w:val="32"/>
        </w:rPr>
      </w:pPr>
    </w:p>
    <w:p w14:paraId="670E9C14" w14:textId="77777777" w:rsidR="00E82F54" w:rsidRPr="00EA173C" w:rsidRDefault="00F93784" w:rsidP="00A96329">
      <w:pPr>
        <w:pStyle w:val="Heading1"/>
      </w:pPr>
      <w:r>
        <w:t>PAR</w:t>
      </w:r>
      <w:r w:rsidR="005C3AE7">
        <w:t>T 6</w:t>
      </w:r>
      <w:r>
        <w:t xml:space="preserve"> – POPULATION</w:t>
      </w:r>
      <w:r w:rsidR="000525BC">
        <w:t xml:space="preserve"> (AND PRIOR TESTS)</w:t>
      </w:r>
      <w:r>
        <w:t>, INDICATION, COMPARATOR, OUTCOME (PICO)</w:t>
      </w:r>
    </w:p>
    <w:p w14:paraId="3686A45A" w14:textId="77777777" w:rsidR="0021185D" w:rsidRPr="005C3AE7" w:rsidRDefault="005C3AE7" w:rsidP="005C3AE7">
      <w:pPr>
        <w:pStyle w:val="Subtitle"/>
      </w:pPr>
      <w:r w:rsidRPr="005C3AE7">
        <w:t xml:space="preserve">PART 6a – </w:t>
      </w:r>
      <w:r w:rsidR="0021185D" w:rsidRPr="005C3AE7">
        <w:t>INFORMATION ABOUT THE PROPOSED POPULATION</w:t>
      </w:r>
    </w:p>
    <w:p w14:paraId="665BE40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E4746B1" w14:textId="77777777" w:rsidR="00BF695B" w:rsidRDefault="00EE3375" w:rsidP="00BA2FF7">
      <w:pPr>
        <w:ind w:left="360"/>
        <w:jc w:val="both"/>
      </w:pPr>
      <w:r w:rsidRPr="00C304F7">
        <w:rPr>
          <w:rFonts w:eastAsia="Times New Roman" w:cs="Arial"/>
          <w:szCs w:val="18"/>
        </w:rPr>
        <w:t>In Australia, b</w:t>
      </w:r>
      <w:r w:rsidRPr="00C304F7">
        <w:t>reast cancer is the most common cancer affecting women. In 2017, it is estimated that 17,586 women and 144 men will be diagnosed with breast cancer</w:t>
      </w:r>
      <w:r w:rsidRPr="00364FA9">
        <w:rPr>
          <w:rStyle w:val="FootnoteReference"/>
        </w:rPr>
        <w:footnoteReference w:id="13"/>
      </w:r>
      <w:r w:rsidR="00A66D24" w:rsidRPr="00364FA9">
        <w:t>.</w:t>
      </w:r>
      <w:r w:rsidR="00A66D24">
        <w:t xml:space="preserve">  On average, 48 Australians</w:t>
      </w:r>
      <w:r w:rsidRPr="00C304F7">
        <w:t xml:space="preserve"> are diagnosed with breast cancer each day. </w:t>
      </w:r>
      <w:r w:rsidR="00BF695B" w:rsidRPr="00441472">
        <w:t>Advanced breast cancer includes</w:t>
      </w:r>
      <w:r w:rsidR="00DD5DFC" w:rsidRPr="00441472">
        <w:t xml:space="preserve"> both locally advanced and meta</w:t>
      </w:r>
      <w:r w:rsidR="00BF695B" w:rsidRPr="00441472">
        <w:t xml:space="preserve">static breast cancer. Although treatable, metastatic breast cancer remains an incurable disease with a median overall </w:t>
      </w:r>
      <w:r w:rsidR="00DD5DFC" w:rsidRPr="00441472">
        <w:t>survival</w:t>
      </w:r>
      <w:r w:rsidR="00BF695B" w:rsidRPr="00441472">
        <w:t xml:space="preserve"> of about 2 to 3 years and a 5 year </w:t>
      </w:r>
      <w:r w:rsidR="00DD5DFC" w:rsidRPr="00441472">
        <w:t>survival</w:t>
      </w:r>
      <w:r w:rsidR="00BF695B" w:rsidRPr="00441472">
        <w:t xml:space="preserve"> of only about 25%.</w:t>
      </w:r>
      <w:r w:rsidR="00DD5DFC" w:rsidRPr="00441472">
        <w:rPr>
          <w:rStyle w:val="FootnoteReference"/>
        </w:rPr>
        <w:footnoteReference w:id="14"/>
      </w:r>
      <w:r w:rsidR="00DD5DFC" w:rsidRPr="00441472">
        <w:rPr>
          <w:vertAlign w:val="superscript"/>
        </w:rPr>
        <w:t>,</w:t>
      </w:r>
      <w:r w:rsidR="00DD5DFC" w:rsidRPr="00441472">
        <w:rPr>
          <w:rStyle w:val="FootnoteReference"/>
        </w:rPr>
        <w:footnoteReference w:id="15"/>
      </w:r>
    </w:p>
    <w:p w14:paraId="3F6FDAF4" w14:textId="321FAB2C" w:rsidR="00EE3375" w:rsidRPr="00F36123" w:rsidRDefault="00EE3375" w:rsidP="00F36123">
      <w:pPr>
        <w:ind w:left="360"/>
        <w:jc w:val="both"/>
      </w:pPr>
      <w:r w:rsidRPr="00C304F7">
        <w:t xml:space="preserve">The risk of being diagnosed with breast cancer increases with age, with 78% of new cases of breast cancer developing in women over the age of 50.  A personal history of breast cancer or family history are contributing risk factors with approximately 5 to 10% of breast cancers due to a strong family history or genetic mutation; such as </w:t>
      </w:r>
      <w:r w:rsidR="00727DBF">
        <w:rPr>
          <w:i/>
        </w:rPr>
        <w:t>BRCA</w:t>
      </w:r>
      <w:r w:rsidRPr="00727DBF">
        <w:rPr>
          <w:i/>
        </w:rPr>
        <w:t>1</w:t>
      </w:r>
      <w:r w:rsidRPr="00C304F7">
        <w:t xml:space="preserve"> and </w:t>
      </w:r>
      <w:r w:rsidR="00727DBF">
        <w:rPr>
          <w:i/>
        </w:rPr>
        <w:t>BRCA</w:t>
      </w:r>
      <w:r w:rsidRPr="00727DBF">
        <w:rPr>
          <w:i/>
        </w:rPr>
        <w:t>2</w:t>
      </w:r>
      <w:r w:rsidRPr="00C304F7">
        <w:t xml:space="preserve">. Women with a </w:t>
      </w:r>
      <w:r w:rsidRPr="00C304F7">
        <w:rPr>
          <w:i/>
          <w:iCs/>
        </w:rPr>
        <w:t>BRCA1</w:t>
      </w:r>
      <w:r w:rsidRPr="00C304F7">
        <w:t xml:space="preserve"> or</w:t>
      </w:r>
      <w:r w:rsidRPr="00C304F7">
        <w:rPr>
          <w:i/>
          <w:iCs/>
        </w:rPr>
        <w:t xml:space="preserve"> BRCA2 </w:t>
      </w:r>
      <w:r w:rsidRPr="00C304F7">
        <w:t>mutation are believed to have an intermediate risk of developing breast cancer.</w:t>
      </w:r>
      <w:r w:rsidR="00364FA9">
        <w:rPr>
          <w:rStyle w:val="FootnoteReference"/>
        </w:rPr>
        <w:footnoteReference w:id="16"/>
      </w:r>
      <w:r w:rsidRPr="00C304F7">
        <w:t xml:space="preserve"> The average cumulative risks of developing breast cancer by 70 years old has been reported as 57</w:t>
      </w:r>
      <w:r w:rsidRPr="00C304F7">
        <w:rPr>
          <w:rFonts w:cs="Arial"/>
        </w:rPr>
        <w:t>‒</w:t>
      </w:r>
      <w:r w:rsidRPr="00C304F7">
        <w:t xml:space="preserve">65% for </w:t>
      </w:r>
      <w:r w:rsidRPr="00C304F7">
        <w:rPr>
          <w:i/>
          <w:iCs/>
        </w:rPr>
        <w:t>BRCA1</w:t>
      </w:r>
      <w:r w:rsidRPr="00C304F7">
        <w:t xml:space="preserve"> mutation carriers and 45</w:t>
      </w:r>
      <w:r w:rsidRPr="00C304F7">
        <w:rPr>
          <w:rFonts w:cs="Arial"/>
        </w:rPr>
        <w:t>‒</w:t>
      </w:r>
      <w:r w:rsidRPr="00C304F7">
        <w:t xml:space="preserve">49% for </w:t>
      </w:r>
      <w:r w:rsidRPr="00C304F7">
        <w:rPr>
          <w:i/>
          <w:iCs/>
        </w:rPr>
        <w:t xml:space="preserve">BRCA2 </w:t>
      </w:r>
      <w:r w:rsidRPr="00C304F7">
        <w:t>mutation carriers.</w:t>
      </w:r>
      <w:r w:rsidR="00364FA9">
        <w:rPr>
          <w:rStyle w:val="FootnoteReference"/>
        </w:rPr>
        <w:footnoteReference w:id="17"/>
      </w:r>
      <w:r w:rsidR="00B838F8" w:rsidRPr="00B838F8">
        <w:rPr>
          <w:vertAlign w:val="superscript"/>
        </w:rPr>
        <w:t>,</w:t>
      </w:r>
      <w:r w:rsidR="00364FA9">
        <w:rPr>
          <w:rStyle w:val="FootnoteReference"/>
        </w:rPr>
        <w:footnoteReference w:id="18"/>
      </w:r>
      <w:r w:rsidR="00F45B23">
        <w:t xml:space="preserve">  </w:t>
      </w:r>
    </w:p>
    <w:p w14:paraId="412F96C9" w14:textId="77777777" w:rsidR="00AA5FDA" w:rsidRPr="00441472" w:rsidRDefault="00AA5FDA" w:rsidP="00530204">
      <w:pPr>
        <w:pStyle w:val="Heading2"/>
      </w:pPr>
      <w:r w:rsidRPr="00441472">
        <w:t>Specify any characteristics of patients with the medical condition</w:t>
      </w:r>
      <w:r w:rsidR="00707D4D" w:rsidRPr="00441472">
        <w:t>, or suspected of,</w:t>
      </w:r>
      <w:r w:rsidRPr="00441472">
        <w:t xml:space="preserve"> who are proposed to be eligible for the proposed medical service</w:t>
      </w:r>
      <w:r w:rsidR="00102686" w:rsidRPr="00441472">
        <w:t>, including any details of how a patient w</w:t>
      </w:r>
      <w:r w:rsidR="0054594B" w:rsidRPr="00441472">
        <w:t>ould be</w:t>
      </w:r>
      <w:r w:rsidR="00102686" w:rsidRPr="00441472">
        <w:t xml:space="preserve"> </w:t>
      </w:r>
      <w:r w:rsidR="0018630F" w:rsidRPr="00441472">
        <w:t>investigated</w:t>
      </w:r>
      <w:r w:rsidR="0054594B" w:rsidRPr="00441472">
        <w:t>,</w:t>
      </w:r>
      <w:r w:rsidR="0018630F" w:rsidRPr="00441472">
        <w:t xml:space="preserve"> managed </w:t>
      </w:r>
      <w:r w:rsidR="0054594B" w:rsidRPr="00441472">
        <w:t xml:space="preserve">and referred </w:t>
      </w:r>
      <w:r w:rsidR="007D2358" w:rsidRPr="00441472">
        <w:t xml:space="preserve">within the Australian health care system </w:t>
      </w:r>
      <w:r w:rsidR="0018630F" w:rsidRPr="00441472">
        <w:t xml:space="preserve">in the lead up to being considered </w:t>
      </w:r>
      <w:r w:rsidR="00DF6D37" w:rsidRPr="00441472">
        <w:t xml:space="preserve">eligible </w:t>
      </w:r>
      <w:r w:rsidR="0018630F" w:rsidRPr="00441472">
        <w:t>for the service</w:t>
      </w:r>
      <w:r w:rsidR="00197D29" w:rsidRPr="00441472">
        <w:t>:</w:t>
      </w:r>
    </w:p>
    <w:p w14:paraId="59B8762F" w14:textId="77777777" w:rsidR="001F45D6" w:rsidRDefault="001F45D6" w:rsidP="001F45D6">
      <w:pPr>
        <w:ind w:left="360"/>
        <w:jc w:val="both"/>
        <w:rPr>
          <w:rFonts w:eastAsia="Times New Roman" w:cs="Arial"/>
          <w:color w:val="000000"/>
          <w:szCs w:val="18"/>
          <w:lang w:val="en-GB"/>
        </w:rPr>
      </w:pPr>
      <w:r w:rsidRPr="001F45D6">
        <w:rPr>
          <w:rFonts w:eastAsia="Times New Roman" w:cs="Arial"/>
          <w:color w:val="000000"/>
          <w:szCs w:val="18"/>
        </w:rPr>
        <w:t>Treatment decisions are impacted not only by receptor status / molecular subtype, but also tumour stage and grade, symptoms and patient factors.  Determination of the molecular subtype is a standard part of the workup of breast cancer diagnosis as it provides valuable prognostic information and determines the treatment pathway the patient will follow.</w:t>
      </w:r>
      <w:r>
        <w:rPr>
          <w:rFonts w:eastAsia="Times New Roman" w:cs="Arial"/>
          <w:color w:val="000000"/>
          <w:szCs w:val="18"/>
        </w:rPr>
        <w:t xml:space="preserve">  </w:t>
      </w:r>
      <w:r w:rsidRPr="001F45D6">
        <w:rPr>
          <w:rFonts w:eastAsia="Times New Roman" w:cs="Arial"/>
          <w:color w:val="000000"/>
          <w:szCs w:val="18"/>
          <w:lang w:val="en-GB"/>
        </w:rPr>
        <w:t>In general, the expression of three receptors on the tumour are routinely determined in clinical practice:</w:t>
      </w:r>
    </w:p>
    <w:p w14:paraId="149AC8C3" w14:textId="77777777" w:rsidR="001F45D6" w:rsidRDefault="001F45D6" w:rsidP="001F45D6">
      <w:pPr>
        <w:pStyle w:val="ListParagraph"/>
        <w:numPr>
          <w:ilvl w:val="0"/>
          <w:numId w:val="21"/>
        </w:numPr>
        <w:jc w:val="both"/>
        <w:rPr>
          <w:rFonts w:cs="Arial"/>
          <w:color w:val="000000"/>
          <w:szCs w:val="18"/>
        </w:rPr>
      </w:pPr>
      <w:r>
        <w:rPr>
          <w:rFonts w:cs="Arial"/>
          <w:color w:val="000000"/>
          <w:szCs w:val="18"/>
        </w:rPr>
        <w:t>estrogen (ER)</w:t>
      </w:r>
    </w:p>
    <w:p w14:paraId="11149298" w14:textId="7F7999A6" w:rsidR="001F45D6" w:rsidRDefault="001F45D6" w:rsidP="001F45D6">
      <w:pPr>
        <w:pStyle w:val="ListParagraph"/>
        <w:numPr>
          <w:ilvl w:val="0"/>
          <w:numId w:val="21"/>
        </w:numPr>
        <w:jc w:val="both"/>
        <w:rPr>
          <w:rFonts w:cs="Arial"/>
          <w:color w:val="000000"/>
          <w:szCs w:val="18"/>
        </w:rPr>
      </w:pPr>
      <w:r>
        <w:rPr>
          <w:rFonts w:cs="Arial"/>
          <w:color w:val="000000"/>
          <w:szCs w:val="18"/>
        </w:rPr>
        <w:t>progesterone (PR)</w:t>
      </w:r>
    </w:p>
    <w:p w14:paraId="5D489C12" w14:textId="1FE2546B" w:rsidR="001F45D6" w:rsidRDefault="001F45D6" w:rsidP="00F45B23">
      <w:pPr>
        <w:pStyle w:val="ListParagraph"/>
        <w:numPr>
          <w:ilvl w:val="0"/>
          <w:numId w:val="21"/>
        </w:numPr>
        <w:spacing w:after="0"/>
        <w:ind w:left="1077" w:hanging="357"/>
        <w:jc w:val="both"/>
        <w:rPr>
          <w:rFonts w:cs="Arial"/>
          <w:color w:val="000000"/>
          <w:szCs w:val="18"/>
        </w:rPr>
      </w:pPr>
      <w:r>
        <w:rPr>
          <w:rFonts w:cs="Arial"/>
          <w:color w:val="000000"/>
          <w:szCs w:val="18"/>
        </w:rPr>
        <w:t>human epidermal growth factor receptor 2 (HER2)</w:t>
      </w:r>
    </w:p>
    <w:p w14:paraId="139FC719" w14:textId="4BC00994" w:rsidR="00F45B23" w:rsidRPr="00F45B23" w:rsidRDefault="00F45B23" w:rsidP="00F45B23">
      <w:pPr>
        <w:jc w:val="both"/>
        <w:rPr>
          <w:rFonts w:cs="Arial"/>
          <w:color w:val="000000"/>
          <w:szCs w:val="18"/>
        </w:rPr>
      </w:pPr>
      <w:r w:rsidRPr="00F45B23">
        <w:rPr>
          <w:rFonts w:cs="Arial"/>
          <w:color w:val="000000"/>
          <w:szCs w:val="18"/>
        </w:rPr>
        <w:t>Major clinical groups of breast cancer are as follows:</w:t>
      </w:r>
      <w:bookmarkStart w:id="3" w:name="_GoBack"/>
      <w:bookmarkEnd w:id="3"/>
    </w:p>
    <w:p w14:paraId="7E5B3484" w14:textId="56FF1A46" w:rsidR="001F45D6" w:rsidRDefault="001F14C5" w:rsidP="001F45D6">
      <w:pPr>
        <w:jc w:val="both"/>
        <w:rPr>
          <w:rFonts w:cs="Arial"/>
          <w:color w:val="000000"/>
          <w:szCs w:val="18"/>
        </w:rPr>
      </w:pPr>
      <w:r>
        <w:rPr>
          <w:rFonts w:cs="Arial"/>
          <w:noProof/>
          <w:color w:val="000000"/>
          <w:szCs w:val="18"/>
          <w:lang w:eastAsia="en-AU"/>
        </w:rPr>
        <w:drawing>
          <wp:inline distT="0" distB="0" distL="0" distR="0" wp14:anchorId="003A4E5E" wp14:editId="2F503A02">
            <wp:extent cx="3654061" cy="1317279"/>
            <wp:effectExtent l="0" t="0" r="3810" b="0"/>
            <wp:docPr id="3" name="Picture 3" title="diagram showing major clinical groups of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2">
                      <a:extLst>
                        <a:ext uri="{28A0092B-C50C-407E-A947-70E740481C1C}">
                          <a14:useLocalDpi xmlns:a14="http://schemas.microsoft.com/office/drawing/2010/main" val="0"/>
                        </a:ext>
                      </a:extLst>
                    </a:blip>
                    <a:srcRect t="2197" b="2272"/>
                    <a:stretch/>
                  </pic:blipFill>
                  <pic:spPr bwMode="auto">
                    <a:xfrm>
                      <a:off x="0" y="0"/>
                      <a:ext cx="3654061" cy="1317279"/>
                    </a:xfrm>
                    <a:prstGeom prst="rect">
                      <a:avLst/>
                    </a:prstGeom>
                    <a:noFill/>
                    <a:ln>
                      <a:noFill/>
                    </a:ln>
                    <a:extLst>
                      <a:ext uri="{53640926-AAD7-44D8-BBD7-CCE9431645EC}">
                        <a14:shadowObscured xmlns:a14="http://schemas.microsoft.com/office/drawing/2010/main"/>
                      </a:ext>
                    </a:extLst>
                  </pic:spPr>
                </pic:pic>
              </a:graphicData>
            </a:graphic>
          </wp:inline>
        </w:drawing>
      </w:r>
    </w:p>
    <w:p w14:paraId="37F0BE04" w14:textId="6175D426" w:rsidR="00EE3375" w:rsidRPr="003D19B4" w:rsidRDefault="003D19B4" w:rsidP="00CF0AB3">
      <w:pPr>
        <w:ind w:left="360"/>
        <w:jc w:val="both"/>
      </w:pPr>
      <w:r w:rsidRPr="003D19B4">
        <w:rPr>
          <w:rFonts w:eastAsia="Times New Roman" w:cs="Arial"/>
          <w:color w:val="000000"/>
          <w:szCs w:val="18"/>
        </w:rPr>
        <w:lastRenderedPageBreak/>
        <w:t>T</w:t>
      </w:r>
      <w:r w:rsidR="004D31AB">
        <w:rPr>
          <w:rFonts w:eastAsia="Times New Roman" w:cs="Arial"/>
          <w:color w:val="000000"/>
          <w:szCs w:val="18"/>
        </w:rPr>
        <w:t xml:space="preserve">he majority </w:t>
      </w:r>
      <w:r w:rsidR="00EE3375" w:rsidRPr="003D19B4">
        <w:rPr>
          <w:rFonts w:eastAsia="Times New Roman" w:cs="Arial"/>
          <w:color w:val="000000"/>
          <w:szCs w:val="18"/>
        </w:rPr>
        <w:t>of breast</w:t>
      </w:r>
      <w:r w:rsidRPr="003D19B4">
        <w:rPr>
          <w:rFonts w:eastAsia="Times New Roman" w:cs="Arial"/>
          <w:color w:val="000000"/>
          <w:szCs w:val="18"/>
        </w:rPr>
        <w:t xml:space="preserve"> cancers ar</w:t>
      </w:r>
      <w:r w:rsidR="005E0656">
        <w:rPr>
          <w:rFonts w:eastAsia="Times New Roman" w:cs="Arial"/>
          <w:color w:val="000000"/>
          <w:szCs w:val="18"/>
        </w:rPr>
        <w:t>e HR+/HER2 negative</w:t>
      </w:r>
      <w:r w:rsidR="00304FAC">
        <w:rPr>
          <w:rFonts w:eastAsia="Times New Roman" w:cs="Arial"/>
          <w:color w:val="000000"/>
          <w:szCs w:val="18"/>
        </w:rPr>
        <w:t xml:space="preserve"> (72.7%) based on </w:t>
      </w:r>
      <w:r w:rsidRPr="003D19B4">
        <w:rPr>
          <w:rFonts w:eastAsia="Times New Roman" w:cs="Arial"/>
          <w:color w:val="000000"/>
          <w:szCs w:val="18"/>
        </w:rPr>
        <w:t xml:space="preserve">histological subtypes; </w:t>
      </w:r>
      <w:r w:rsidR="00EE3375" w:rsidRPr="003D19B4">
        <w:rPr>
          <w:rFonts w:eastAsia="Times New Roman" w:cs="Arial"/>
          <w:color w:val="000000"/>
          <w:szCs w:val="18"/>
        </w:rPr>
        <w:t>whereas approxi</w:t>
      </w:r>
      <w:r>
        <w:rPr>
          <w:rFonts w:eastAsia="Times New Roman" w:cs="Arial"/>
          <w:color w:val="000000"/>
          <w:szCs w:val="18"/>
        </w:rPr>
        <w:t>mately 12% are triple negative</w:t>
      </w:r>
      <w:r w:rsidR="00D6191C">
        <w:rPr>
          <w:rFonts w:eastAsia="Times New Roman" w:cs="Arial"/>
          <w:color w:val="000000"/>
          <w:szCs w:val="18"/>
        </w:rPr>
        <w:t xml:space="preserve"> (TNBC)</w:t>
      </w:r>
      <w:r w:rsidR="00B838F8">
        <w:rPr>
          <w:rStyle w:val="FootnoteReference"/>
          <w:rFonts w:eastAsia="Times New Roman" w:cs="Arial"/>
          <w:color w:val="000000"/>
          <w:szCs w:val="18"/>
        </w:rPr>
        <w:footnoteReference w:id="19"/>
      </w:r>
      <w:r w:rsidR="00D6191C">
        <w:rPr>
          <w:rFonts w:eastAsia="Times New Roman" w:cs="Arial"/>
          <w:color w:val="000000"/>
          <w:szCs w:val="18"/>
        </w:rPr>
        <w:t xml:space="preserve">. In particular, </w:t>
      </w:r>
      <w:r w:rsidR="00EE3375" w:rsidRPr="003D19B4">
        <w:rPr>
          <w:rFonts w:eastAsia="Times New Roman" w:cs="Arial"/>
          <w:color w:val="000000"/>
          <w:szCs w:val="18"/>
        </w:rPr>
        <w:t>TNBC has been associated with more aggressive disease and worse survival versus non-TNBC.</w:t>
      </w:r>
      <w:r w:rsidR="00B838F8">
        <w:rPr>
          <w:rFonts w:eastAsia="Times New Roman" w:cs="Arial"/>
          <w:color w:val="000000"/>
          <w:szCs w:val="18"/>
        </w:rPr>
        <w:t xml:space="preserve"> </w:t>
      </w:r>
      <w:r w:rsidR="00B838F8">
        <w:rPr>
          <w:rStyle w:val="FootnoteReference"/>
          <w:rFonts w:eastAsia="Times New Roman" w:cs="Arial"/>
          <w:color w:val="000000"/>
          <w:szCs w:val="18"/>
        </w:rPr>
        <w:footnoteReference w:id="20"/>
      </w:r>
      <w:r w:rsidR="00B838F8" w:rsidRPr="00B838F8">
        <w:rPr>
          <w:rFonts w:eastAsia="Times New Roman" w:cs="Arial"/>
          <w:color w:val="000000"/>
          <w:szCs w:val="18"/>
          <w:vertAlign w:val="superscript"/>
        </w:rPr>
        <w:t>,</w:t>
      </w:r>
      <w:r w:rsidR="00B838F8" w:rsidRPr="00B838F8">
        <w:rPr>
          <w:rStyle w:val="FootnoteReference"/>
          <w:rFonts w:eastAsia="Times New Roman" w:cs="Arial"/>
          <w:color w:val="000000"/>
          <w:szCs w:val="18"/>
        </w:rPr>
        <w:footnoteReference w:id="21"/>
      </w:r>
      <w:r w:rsidR="00B838F8" w:rsidRPr="00B838F8">
        <w:rPr>
          <w:rFonts w:eastAsia="Times New Roman" w:cs="Arial"/>
          <w:color w:val="000000"/>
          <w:szCs w:val="18"/>
          <w:vertAlign w:val="superscript"/>
        </w:rPr>
        <w:t>,</w:t>
      </w:r>
      <w:r w:rsidR="00B838F8">
        <w:rPr>
          <w:rStyle w:val="FootnoteReference"/>
          <w:rFonts w:eastAsia="Times New Roman" w:cs="Arial"/>
          <w:color w:val="000000"/>
          <w:szCs w:val="18"/>
        </w:rPr>
        <w:footnoteReference w:id="22"/>
      </w:r>
    </w:p>
    <w:p w14:paraId="29B6794B" w14:textId="108572DE" w:rsidR="00B1580E" w:rsidRDefault="00EE3375" w:rsidP="00470C12">
      <w:pPr>
        <w:ind w:left="330"/>
        <w:jc w:val="both"/>
        <w:rPr>
          <w:iCs/>
          <w:szCs w:val="24"/>
        </w:rPr>
      </w:pPr>
      <w:r w:rsidRPr="003D19B4">
        <w:rPr>
          <w:rFonts w:cs="Arial"/>
          <w:color w:val="000000"/>
          <w:szCs w:val="20"/>
          <w:shd w:val="clear" w:color="auto" w:fill="FFFFFF"/>
        </w:rPr>
        <w:t xml:space="preserve">Epidemiology data show a high prevalence of </w:t>
      </w:r>
      <w:r w:rsidRPr="003D19B4">
        <w:rPr>
          <w:rFonts w:cs="Arial"/>
          <w:i/>
          <w:color w:val="000000"/>
          <w:szCs w:val="20"/>
          <w:shd w:val="clear" w:color="auto" w:fill="FFFFFF"/>
        </w:rPr>
        <w:t>BRCA1</w:t>
      </w:r>
      <w:r w:rsidRPr="003D19B4">
        <w:rPr>
          <w:rFonts w:cs="Arial"/>
          <w:color w:val="000000"/>
          <w:szCs w:val="20"/>
          <w:shd w:val="clear" w:color="auto" w:fill="FFFFFF"/>
        </w:rPr>
        <w:t xml:space="preserve"> mutations in TNBC patients and that</w:t>
      </w:r>
      <w:r w:rsidRPr="003D19B4">
        <w:rPr>
          <w:rStyle w:val="apple-converted-space"/>
          <w:rFonts w:cs="Arial"/>
          <w:color w:val="000000"/>
          <w:szCs w:val="20"/>
          <w:shd w:val="clear" w:color="auto" w:fill="FFFFFF"/>
        </w:rPr>
        <w:t xml:space="preserve"> </w:t>
      </w:r>
      <w:r w:rsidRPr="003D19B4">
        <w:rPr>
          <w:rStyle w:val="highlight"/>
          <w:rFonts w:cs="Arial"/>
          <w:color w:val="000000"/>
          <w:szCs w:val="20"/>
          <w:shd w:val="clear" w:color="auto" w:fill="FFFFFF"/>
        </w:rPr>
        <w:t xml:space="preserve">these </w:t>
      </w:r>
      <w:r w:rsidRPr="003D19B4">
        <w:rPr>
          <w:rFonts w:cs="Arial"/>
          <w:color w:val="000000"/>
          <w:szCs w:val="20"/>
          <w:shd w:val="clear" w:color="auto" w:fill="FFFFFF"/>
        </w:rPr>
        <w:t>mutations are not restricted to young</w:t>
      </w:r>
      <w:r w:rsidRPr="003D19B4">
        <w:rPr>
          <w:rStyle w:val="apple-converted-space"/>
          <w:rFonts w:cs="Arial"/>
          <w:color w:val="000000"/>
          <w:szCs w:val="20"/>
          <w:shd w:val="clear" w:color="auto" w:fill="FFFFFF"/>
        </w:rPr>
        <w:t xml:space="preserve"> </w:t>
      </w:r>
      <w:r w:rsidRPr="003D19B4">
        <w:rPr>
          <w:rStyle w:val="highlight"/>
          <w:rFonts w:cs="Arial"/>
          <w:color w:val="000000"/>
          <w:szCs w:val="20"/>
          <w:shd w:val="clear" w:color="auto" w:fill="FFFFFF"/>
        </w:rPr>
        <w:t>women</w:t>
      </w:r>
      <w:r w:rsidRPr="003D19B4">
        <w:rPr>
          <w:rStyle w:val="apple-converted-space"/>
          <w:rFonts w:cs="Arial"/>
          <w:color w:val="000000"/>
          <w:szCs w:val="20"/>
          <w:shd w:val="clear" w:color="auto" w:fill="FFFFFF"/>
        </w:rPr>
        <w:t xml:space="preserve"> </w:t>
      </w:r>
      <w:r w:rsidRPr="003D19B4">
        <w:rPr>
          <w:rFonts w:cs="Arial"/>
          <w:color w:val="000000"/>
          <w:szCs w:val="20"/>
          <w:shd w:val="clear" w:color="auto" w:fill="FFFFFF"/>
        </w:rPr>
        <w:t>or patients with a positive family history.</w:t>
      </w:r>
      <w:r w:rsidR="00D6191C" w:rsidRPr="00BB131F">
        <w:rPr>
          <w:rStyle w:val="FootnoteReference"/>
          <w:rFonts w:cs="Arial"/>
          <w:color w:val="000000"/>
          <w:szCs w:val="20"/>
          <w:shd w:val="clear" w:color="auto" w:fill="FFFFFF"/>
        </w:rPr>
        <w:footnoteReference w:id="23"/>
      </w:r>
      <w:r w:rsidR="00BA2FF7">
        <w:rPr>
          <w:rFonts w:cs="Arial"/>
          <w:color w:val="000000"/>
          <w:szCs w:val="20"/>
          <w:shd w:val="clear" w:color="auto" w:fill="FFFFFF"/>
          <w:vertAlign w:val="superscript"/>
        </w:rPr>
        <w:t>,</w:t>
      </w:r>
      <w:r w:rsidR="00D6191C" w:rsidRPr="00BB131F">
        <w:rPr>
          <w:rStyle w:val="FootnoteReference"/>
          <w:rFonts w:cs="Arial"/>
          <w:color w:val="000000"/>
          <w:szCs w:val="20"/>
          <w:shd w:val="clear" w:color="auto" w:fill="FFFFFF"/>
        </w:rPr>
        <w:footnoteReference w:id="24"/>
      </w:r>
      <w:r w:rsidR="00BA2FF7">
        <w:rPr>
          <w:rFonts w:cs="Arial"/>
          <w:color w:val="000000"/>
          <w:szCs w:val="20"/>
          <w:shd w:val="clear" w:color="auto" w:fill="FFFFFF"/>
          <w:vertAlign w:val="superscript"/>
        </w:rPr>
        <w:t>,</w:t>
      </w:r>
      <w:r w:rsidR="00BB131F" w:rsidRPr="00BB131F">
        <w:rPr>
          <w:rStyle w:val="FootnoteReference"/>
          <w:rFonts w:cs="Arial"/>
          <w:color w:val="000000"/>
          <w:szCs w:val="20"/>
          <w:shd w:val="clear" w:color="auto" w:fill="FFFFFF"/>
        </w:rPr>
        <w:footnoteReference w:id="25"/>
      </w:r>
      <w:r w:rsidR="00BB131F" w:rsidRPr="00BB131F">
        <w:rPr>
          <w:rFonts w:cs="Arial"/>
          <w:color w:val="000000"/>
          <w:szCs w:val="20"/>
          <w:shd w:val="clear" w:color="auto" w:fill="FFFFFF"/>
          <w:vertAlign w:val="superscript"/>
        </w:rPr>
        <w:t>,</w:t>
      </w:r>
      <w:r w:rsidR="00BB131F">
        <w:rPr>
          <w:rStyle w:val="FootnoteReference"/>
          <w:rFonts w:cs="Arial"/>
          <w:color w:val="000000"/>
          <w:szCs w:val="20"/>
          <w:shd w:val="clear" w:color="auto" w:fill="FFFFFF"/>
        </w:rPr>
        <w:footnoteReference w:id="26"/>
      </w:r>
      <w:r w:rsidR="00727DBF">
        <w:rPr>
          <w:rFonts w:cs="Arial"/>
          <w:color w:val="000000"/>
          <w:szCs w:val="20"/>
          <w:shd w:val="clear" w:color="auto" w:fill="FFFFFF"/>
          <w:vertAlign w:val="superscript"/>
        </w:rPr>
        <w:t xml:space="preserve"> </w:t>
      </w:r>
      <w:r w:rsidRPr="003D19B4">
        <w:rPr>
          <w:rFonts w:cs="Arial"/>
          <w:color w:val="000000"/>
          <w:szCs w:val="20"/>
          <w:shd w:val="clear" w:color="auto" w:fill="FFFFFF"/>
        </w:rPr>
        <w:t xml:space="preserve">TNBC has been incorporated into </w:t>
      </w:r>
      <w:r w:rsidRPr="003D19B4">
        <w:rPr>
          <w:rStyle w:val="highlight"/>
          <w:rFonts w:cs="Arial"/>
          <w:i/>
          <w:color w:val="000000"/>
          <w:szCs w:val="20"/>
          <w:shd w:val="clear" w:color="auto" w:fill="FFFFFF"/>
        </w:rPr>
        <w:t>BRCA1/2</w:t>
      </w:r>
      <w:r w:rsidRPr="003D19B4">
        <w:rPr>
          <w:rStyle w:val="apple-converted-space"/>
          <w:rFonts w:cs="Arial"/>
          <w:color w:val="000000"/>
          <w:szCs w:val="20"/>
          <w:shd w:val="clear" w:color="auto" w:fill="FFFFFF"/>
        </w:rPr>
        <w:t xml:space="preserve"> </w:t>
      </w:r>
      <w:r w:rsidRPr="003D19B4">
        <w:rPr>
          <w:rFonts w:cs="Arial"/>
          <w:color w:val="000000"/>
          <w:szCs w:val="20"/>
          <w:shd w:val="clear" w:color="auto" w:fill="FFFFFF"/>
        </w:rPr>
        <w:t xml:space="preserve">genetic testing guideline </w:t>
      </w:r>
      <w:r w:rsidR="00D85D06">
        <w:rPr>
          <w:rFonts w:cs="Arial"/>
          <w:color w:val="000000"/>
          <w:szCs w:val="20"/>
          <w:shd w:val="clear" w:color="auto" w:fill="FFFFFF"/>
        </w:rPr>
        <w:t>recommendations from NICE and NC</w:t>
      </w:r>
      <w:r w:rsidRPr="003D19B4">
        <w:rPr>
          <w:rFonts w:cs="Arial"/>
          <w:color w:val="000000"/>
          <w:szCs w:val="20"/>
          <w:shd w:val="clear" w:color="auto" w:fill="FFFFFF"/>
        </w:rPr>
        <w:t>CN,</w:t>
      </w:r>
      <w:r w:rsidR="00BB131F" w:rsidRPr="00BB131F">
        <w:rPr>
          <w:rStyle w:val="FootnoteReference"/>
          <w:rFonts w:cs="Arial"/>
          <w:color w:val="000000"/>
          <w:szCs w:val="20"/>
          <w:shd w:val="clear" w:color="auto" w:fill="FFFFFF"/>
        </w:rPr>
        <w:footnoteReference w:id="27"/>
      </w:r>
      <w:r w:rsidR="00BA2FF7">
        <w:rPr>
          <w:rFonts w:cs="Arial"/>
          <w:color w:val="000000"/>
          <w:szCs w:val="20"/>
          <w:shd w:val="clear" w:color="auto" w:fill="FFFFFF"/>
          <w:vertAlign w:val="superscript"/>
        </w:rPr>
        <w:t>,</w:t>
      </w:r>
      <w:r w:rsidR="00BB131F">
        <w:rPr>
          <w:rStyle w:val="FootnoteReference"/>
          <w:rFonts w:cs="Arial"/>
          <w:color w:val="000000"/>
          <w:szCs w:val="20"/>
          <w:shd w:val="clear" w:color="auto" w:fill="FFFFFF"/>
        </w:rPr>
        <w:footnoteReference w:id="28"/>
      </w:r>
      <w:r w:rsidRPr="003D19B4">
        <w:rPr>
          <w:rFonts w:cs="Arial"/>
          <w:color w:val="000000"/>
          <w:szCs w:val="20"/>
          <w:shd w:val="clear" w:color="auto" w:fill="FFFFFF"/>
        </w:rPr>
        <w:t xml:space="preserve"> although the guidelines vary on the age gro</w:t>
      </w:r>
      <w:r w:rsidR="003D19B4">
        <w:rPr>
          <w:rFonts w:cs="Arial"/>
          <w:color w:val="000000"/>
          <w:szCs w:val="20"/>
          <w:shd w:val="clear" w:color="auto" w:fill="FFFFFF"/>
        </w:rPr>
        <w:t>up for this cancer subtype</w:t>
      </w:r>
      <w:r w:rsidRPr="003D19B4">
        <w:rPr>
          <w:rFonts w:cs="Arial"/>
          <w:color w:val="000000"/>
          <w:szCs w:val="20"/>
          <w:shd w:val="clear" w:color="auto" w:fill="FFFFFF"/>
        </w:rPr>
        <w:t xml:space="preserve">. </w:t>
      </w:r>
      <w:r w:rsidR="00B1580E">
        <w:rPr>
          <w:rFonts w:cs="Arial"/>
          <w:color w:val="000000"/>
          <w:szCs w:val="20"/>
          <w:shd w:val="clear" w:color="auto" w:fill="FFFFFF"/>
        </w:rPr>
        <w:t xml:space="preserve"> While </w:t>
      </w:r>
      <w:r w:rsidR="00B1580E" w:rsidRPr="003D19B4">
        <w:rPr>
          <w:iCs/>
          <w:szCs w:val="24"/>
        </w:rPr>
        <w:t xml:space="preserve">the frequency of </w:t>
      </w:r>
      <w:r w:rsidR="00B1580E" w:rsidRPr="003D19B4">
        <w:rPr>
          <w:i/>
          <w:iCs/>
          <w:szCs w:val="24"/>
        </w:rPr>
        <w:t>BRCA1/2</w:t>
      </w:r>
      <w:r w:rsidR="00B1580E" w:rsidRPr="003D19B4">
        <w:rPr>
          <w:iCs/>
          <w:szCs w:val="24"/>
        </w:rPr>
        <w:t xml:space="preserve"> mutations is higher among women with TNBC than in those with HR+/HER</w:t>
      </w:r>
      <w:r w:rsidR="00C5258C">
        <w:rPr>
          <w:iCs/>
          <w:szCs w:val="24"/>
        </w:rPr>
        <w:t>2</w:t>
      </w:r>
      <w:r w:rsidR="005E0656">
        <w:rPr>
          <w:iCs/>
          <w:szCs w:val="24"/>
        </w:rPr>
        <w:t xml:space="preserve"> negative</w:t>
      </w:r>
      <w:r w:rsidR="00B1580E" w:rsidRPr="003D19B4">
        <w:rPr>
          <w:iCs/>
          <w:szCs w:val="24"/>
        </w:rPr>
        <w:t xml:space="preserve"> disease, the latter comprises a much larger proportion of the total breast cancer population. This means there are potentially more women harbouring </w:t>
      </w:r>
      <w:r w:rsidR="00B1580E" w:rsidRPr="003D19B4">
        <w:rPr>
          <w:i/>
          <w:iCs/>
          <w:szCs w:val="24"/>
        </w:rPr>
        <w:t xml:space="preserve">BRCA1/2 </w:t>
      </w:r>
      <w:r w:rsidR="00B1580E" w:rsidRPr="003D19B4">
        <w:rPr>
          <w:iCs/>
          <w:szCs w:val="24"/>
        </w:rPr>
        <w:t>mutations who have HR+/HER</w:t>
      </w:r>
      <w:r w:rsidR="00C5258C">
        <w:rPr>
          <w:iCs/>
          <w:szCs w:val="24"/>
        </w:rPr>
        <w:t>2</w:t>
      </w:r>
      <w:r w:rsidR="005E0656">
        <w:rPr>
          <w:iCs/>
          <w:szCs w:val="24"/>
        </w:rPr>
        <w:t xml:space="preserve"> negative</w:t>
      </w:r>
      <w:r w:rsidR="00B1580E" w:rsidRPr="003D19B4">
        <w:rPr>
          <w:iCs/>
          <w:szCs w:val="24"/>
        </w:rPr>
        <w:t xml:space="preserve"> disease than have TNBC. </w:t>
      </w:r>
    </w:p>
    <w:p w14:paraId="585803EB" w14:textId="77777777" w:rsidR="0081624A" w:rsidRDefault="0081624A" w:rsidP="00470C12">
      <w:pPr>
        <w:ind w:left="360"/>
        <w:jc w:val="both"/>
      </w:pPr>
      <w:r>
        <w:t xml:space="preserve">In current clinical practice, </w:t>
      </w:r>
      <w:r w:rsidRPr="00C13845">
        <w:rPr>
          <w:i/>
        </w:rPr>
        <w:t>BRCA</w:t>
      </w:r>
      <w:r w:rsidR="00C13845">
        <w:t xml:space="preserve"> </w:t>
      </w:r>
      <w:r>
        <w:t>m</w:t>
      </w:r>
      <w:r w:rsidR="00C13845">
        <w:t>utation</w:t>
      </w:r>
      <w:r>
        <w:t xml:space="preserve"> testing is performed for the main purpose of determining whether an individual is genetically predisposed to developing breast, ovarian or other BRCA-related cancers</w:t>
      </w:r>
      <w:r w:rsidR="00527E47">
        <w:t>.</w:t>
      </w:r>
      <w:r w:rsidR="00527E47">
        <w:rPr>
          <w:rStyle w:val="FootnoteReference"/>
        </w:rPr>
        <w:footnoteReference w:id="29"/>
      </w:r>
    </w:p>
    <w:p w14:paraId="439B27C3" w14:textId="7D46B169" w:rsidR="007245A3" w:rsidRDefault="007245A3" w:rsidP="009C2339">
      <w:pPr>
        <w:ind w:left="360"/>
        <w:jc w:val="both"/>
      </w:pPr>
      <w:r>
        <w:t xml:space="preserve">In Australia, many </w:t>
      </w:r>
      <w:r w:rsidR="000160D4">
        <w:t>Genetic /</w:t>
      </w:r>
      <w:r w:rsidR="00477FBF">
        <w:t>Familial Cancer C</w:t>
      </w:r>
      <w:r>
        <w:t xml:space="preserve">entres use the criteria outlined in the </w:t>
      </w:r>
      <w:proofErr w:type="spellStart"/>
      <w:r>
        <w:t>eviQ</w:t>
      </w:r>
      <w:proofErr w:type="spellEnd"/>
      <w:r>
        <w:t xml:space="preserve"> ‘</w:t>
      </w:r>
      <w:r w:rsidRPr="009D1531">
        <w:rPr>
          <w:i/>
        </w:rPr>
        <w:t>Guidelines for genetic testing for heritable mutations in the BRCA1 and BRCA2 genes</w:t>
      </w:r>
      <w:r>
        <w:t>’</w:t>
      </w:r>
      <w:r w:rsidR="00527E47">
        <w:rPr>
          <w:rStyle w:val="FootnoteReference"/>
        </w:rPr>
        <w:footnoteReference w:id="30"/>
      </w:r>
      <w:r>
        <w:t xml:space="preserve">, to identify suitable candidates for </w:t>
      </w:r>
      <w:proofErr w:type="spellStart"/>
      <w:proofErr w:type="gramStart"/>
      <w:r>
        <w:t>BRCAm</w:t>
      </w:r>
      <w:proofErr w:type="spellEnd"/>
      <w:r>
        <w:t xml:space="preserve"> testing</w:t>
      </w:r>
      <w:proofErr w:type="gramEnd"/>
      <w:r>
        <w:t xml:space="preserve"> for the purpose of familial cancer risk assessment</w:t>
      </w:r>
      <w:r w:rsidR="00C908A4">
        <w:t xml:space="preserve">. </w:t>
      </w:r>
      <w:proofErr w:type="spellStart"/>
      <w:r w:rsidR="00C908A4">
        <w:t>E</w:t>
      </w:r>
      <w:r>
        <w:t>viQ</w:t>
      </w:r>
      <w:proofErr w:type="spellEnd"/>
      <w:r>
        <w:t xml:space="preserve"> is an online point of care cancer treatment information resource that provides health professionals with current evidence-based, peer-reviewed, best practice cancer treatment protocols relevant to the Australian clinical environment. It is designed to support a busy work flow in all clinical and geographical settings, providing rural, remote and metropolitan health professionals, patients, carers and their families with access to the same standard evidence-based information. </w:t>
      </w:r>
      <w:r w:rsidR="00306077">
        <w:t xml:space="preserve"> </w:t>
      </w:r>
      <w:r>
        <w:t xml:space="preserve">The </w:t>
      </w:r>
      <w:proofErr w:type="spellStart"/>
      <w:r>
        <w:t>eviQ</w:t>
      </w:r>
      <w:proofErr w:type="spellEnd"/>
      <w:r>
        <w:t xml:space="preserve"> guidelines currently recommend </w:t>
      </w:r>
      <w:proofErr w:type="spellStart"/>
      <w:r>
        <w:t>BRCAm</w:t>
      </w:r>
      <w:proofErr w:type="spellEnd"/>
      <w:r>
        <w:t xml:space="preserve"> testing for the purpose of familial cancer risk assessment in individuals with a greater than 10% probability of carrying a mutation, based on their personal or family history of cancer. This includes a recommendation for </w:t>
      </w:r>
      <w:proofErr w:type="spellStart"/>
      <w:r>
        <w:t>BRCAm</w:t>
      </w:r>
      <w:proofErr w:type="spellEnd"/>
      <w:r>
        <w:t xml:space="preserve"> testing in </w:t>
      </w:r>
      <w:r>
        <w:lastRenderedPageBreak/>
        <w:t>individuals with</w:t>
      </w:r>
      <w:r w:rsidR="00C5258C">
        <w:t>: TNBC age ≤ 5</w:t>
      </w:r>
      <w:r w:rsidRPr="00306077">
        <w:t xml:space="preserve">0; high-grade non-mucinous </w:t>
      </w:r>
      <w:r w:rsidRPr="00306077">
        <w:rPr>
          <w:iCs/>
          <w:lang w:val="en-GB"/>
        </w:rPr>
        <w:t>ovarian cancer</w:t>
      </w:r>
      <w:r w:rsidR="00C5258C">
        <w:t xml:space="preserve"> age ≤</w:t>
      </w:r>
      <w:r w:rsidRPr="00306077">
        <w:t xml:space="preserve"> 70; non-mucinous </w:t>
      </w:r>
      <w:r w:rsidRPr="00306077">
        <w:rPr>
          <w:i/>
          <w:iCs/>
          <w:lang w:val="en-GB"/>
        </w:rPr>
        <w:t>ovarian cancer</w:t>
      </w:r>
      <w:r w:rsidRPr="00306077">
        <w:t>, any age + family history; OR known BRCA mutation in a relative.</w:t>
      </w:r>
    </w:p>
    <w:p w14:paraId="32513211" w14:textId="35239EEA" w:rsidR="0010168C" w:rsidRDefault="0010168C" w:rsidP="00470C12">
      <w:pPr>
        <w:ind w:left="360"/>
        <w:jc w:val="both"/>
      </w:pPr>
      <w:r w:rsidRPr="009C2339">
        <w:t>AstraZeneca notes a submission by the Royal College of P</w:t>
      </w:r>
      <w:r w:rsidR="003C6D91" w:rsidRPr="009C2339">
        <w:t xml:space="preserve">athologist of Australasia (Application No. 1411.1) which </w:t>
      </w:r>
      <w:r w:rsidR="003D2590">
        <w:t>is seeking</w:t>
      </w:r>
      <w:r w:rsidR="006D203C">
        <w:t xml:space="preserve"> MBS funding of diagnostic testing </w:t>
      </w:r>
      <w:r w:rsidR="00C13845" w:rsidRPr="009C2339">
        <w:t>of</w:t>
      </w:r>
      <w:r w:rsidR="003C6D91" w:rsidRPr="009C2339">
        <w:t xml:space="preserve"> hereditary mutations (including </w:t>
      </w:r>
      <w:r w:rsidR="003C6D91" w:rsidRPr="002B6E15">
        <w:rPr>
          <w:i/>
        </w:rPr>
        <w:t xml:space="preserve">BRCA </w:t>
      </w:r>
      <w:r w:rsidR="003C6D91" w:rsidRPr="009C2339">
        <w:t>mutations) predisposing to breast and/or ovarian cancer</w:t>
      </w:r>
      <w:r w:rsidR="00C13845" w:rsidRPr="009C2339">
        <w:t>. The outcome of</w:t>
      </w:r>
      <w:r w:rsidR="009C2339" w:rsidRPr="009C2339">
        <w:t xml:space="preserve"> this s</w:t>
      </w:r>
      <w:r w:rsidR="00F45B23">
        <w:t>ubmission is currently pending.</w:t>
      </w:r>
    </w:p>
    <w:p w14:paraId="6FFA81ED" w14:textId="7275B37C" w:rsidR="00EE3375" w:rsidRPr="00B45834" w:rsidRDefault="00624904" w:rsidP="00470C12">
      <w:pPr>
        <w:ind w:left="330"/>
        <w:jc w:val="both"/>
        <w:rPr>
          <w:iCs/>
          <w:szCs w:val="24"/>
        </w:rPr>
      </w:pPr>
      <w:r>
        <w:rPr>
          <w:iCs/>
          <w:szCs w:val="24"/>
        </w:rPr>
        <w:t xml:space="preserve">Refer to #27 and #28 for </w:t>
      </w:r>
      <w:r w:rsidR="003C2560">
        <w:rPr>
          <w:iCs/>
          <w:szCs w:val="24"/>
        </w:rPr>
        <w:t>further detail</w:t>
      </w:r>
      <w:r w:rsidR="00D85D06">
        <w:rPr>
          <w:iCs/>
          <w:szCs w:val="24"/>
        </w:rPr>
        <w:t xml:space="preserve"> how a patient would be investigated and</w:t>
      </w:r>
      <w:r w:rsidR="003D2590">
        <w:rPr>
          <w:iCs/>
          <w:szCs w:val="24"/>
        </w:rPr>
        <w:t xml:space="preserve"> managed within the Australian Health Care S</w:t>
      </w:r>
      <w:r w:rsidR="00D85D06">
        <w:rPr>
          <w:iCs/>
          <w:szCs w:val="24"/>
        </w:rPr>
        <w:t>ystem</w:t>
      </w:r>
      <w:r w:rsidR="00364FA9">
        <w:rPr>
          <w:iCs/>
          <w:szCs w:val="24"/>
        </w:rPr>
        <w:t>.</w:t>
      </w:r>
    </w:p>
    <w:p w14:paraId="7857536F" w14:textId="77777777" w:rsidR="00FD2985" w:rsidRPr="00C63CB6" w:rsidRDefault="0018630F" w:rsidP="00C63CB6">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928D0B8" w14:textId="46627579" w:rsidR="00D517AE" w:rsidRDefault="00D517AE" w:rsidP="00B46E7F">
      <w:pPr>
        <w:pStyle w:val="CommentText"/>
        <w:ind w:left="360"/>
        <w:jc w:val="both"/>
      </w:pPr>
      <w:r w:rsidRPr="00C63CB6">
        <w:t>There are no definitiv</w:t>
      </w:r>
      <w:r w:rsidR="005E0656">
        <w:t>e treatment guidelines for HER2 negative</w:t>
      </w:r>
      <w:r w:rsidRPr="00C63CB6">
        <w:t>, m</w:t>
      </w:r>
      <w:r w:rsidR="00047A6A">
        <w:t>etastatic breast cancer</w:t>
      </w:r>
      <w:r w:rsidRPr="00C63CB6">
        <w:t xml:space="preserve"> patients with a germline </w:t>
      </w:r>
      <w:r w:rsidRPr="00C63CB6">
        <w:rPr>
          <w:i/>
        </w:rPr>
        <w:t>BRCA</w:t>
      </w:r>
      <w:r w:rsidR="00047A6A">
        <w:t xml:space="preserve"> mutation</w:t>
      </w:r>
      <w:r w:rsidRPr="00C63CB6">
        <w:t>, and these patients are typically treated in the same way as patients with non-hereditary m</w:t>
      </w:r>
      <w:r w:rsidR="0009311E" w:rsidRPr="00C63CB6">
        <w:t>etastatic breast cancer.</w:t>
      </w:r>
      <w:r w:rsidR="00CF0AB3">
        <w:rPr>
          <w:rStyle w:val="FootnoteReference"/>
        </w:rPr>
        <w:footnoteReference w:id="31"/>
      </w:r>
      <w:r w:rsidRPr="00C63CB6">
        <w:t xml:space="preserve"> </w:t>
      </w:r>
      <w:r w:rsidR="00CF0AB3">
        <w:t xml:space="preserve"> </w:t>
      </w:r>
      <w:r w:rsidR="000D20D2">
        <w:t xml:space="preserve">In the </w:t>
      </w:r>
      <w:r w:rsidR="000D20D2">
        <w:rPr>
          <w:i/>
        </w:rPr>
        <w:t>BRCA</w:t>
      </w:r>
      <w:r w:rsidR="00047A6A">
        <w:t xml:space="preserve"> mutation</w:t>
      </w:r>
      <w:r w:rsidR="00477FBF">
        <w:t xml:space="preserve"> setting</w:t>
      </w:r>
      <w:r w:rsidR="000D20D2">
        <w:t>, patients additionally require genetic counselling and testing prior to initiation of treatment.</w:t>
      </w:r>
    </w:p>
    <w:p w14:paraId="3DDC0560" w14:textId="64EE3203" w:rsidR="004C4B54" w:rsidRPr="000D20D2" w:rsidRDefault="00816260" w:rsidP="00B46E7F">
      <w:pPr>
        <w:ind w:left="360"/>
        <w:jc w:val="both"/>
      </w:pPr>
      <w:r>
        <w:t>As surgery is rarely suitable for patients with metastatic disease, the three main treatment</w:t>
      </w:r>
      <w:r w:rsidR="005E0656">
        <w:t xml:space="preserve"> options for patients with HER2 negative</w:t>
      </w:r>
      <w:r>
        <w:t xml:space="preserve"> m</w:t>
      </w:r>
      <w:r w:rsidR="009B48B7">
        <w:t>etastatic breast cancer</w:t>
      </w:r>
      <w:r>
        <w:t xml:space="preserve">, regardless of </w:t>
      </w:r>
      <w:r w:rsidRPr="00032BB7">
        <w:rPr>
          <w:i/>
        </w:rPr>
        <w:t>BRCA</w:t>
      </w:r>
      <w:r w:rsidR="009B48B7">
        <w:t xml:space="preserve"> mutation</w:t>
      </w:r>
      <w:r>
        <w:t xml:space="preserve"> status, tend to include endocrine therapy, chemotherapy and where suitable, targeted therapy.</w:t>
      </w:r>
    </w:p>
    <w:p w14:paraId="3CC7083F" w14:textId="234416E1" w:rsidR="00CC2B8A" w:rsidRDefault="00B60461" w:rsidP="00B46E7F">
      <w:pPr>
        <w:ind w:left="360"/>
        <w:jc w:val="both"/>
        <w:rPr>
          <w:rStyle w:val="Strong"/>
          <w:b w:val="0"/>
        </w:rPr>
      </w:pPr>
      <w:r>
        <w:rPr>
          <w:rStyle w:val="Strong"/>
          <w:b w:val="0"/>
        </w:rPr>
        <w:t>Clinical management guidelines for metasta</w:t>
      </w:r>
      <w:r w:rsidR="00E57AEA">
        <w:rPr>
          <w:rStyle w:val="Strong"/>
          <w:b w:val="0"/>
        </w:rPr>
        <w:t>tic breast cancer is complex with the main</w:t>
      </w:r>
      <w:r>
        <w:rPr>
          <w:rStyle w:val="Strong"/>
          <w:b w:val="0"/>
        </w:rPr>
        <w:t xml:space="preserve"> </w:t>
      </w:r>
      <w:r w:rsidR="00161593">
        <w:rPr>
          <w:rStyle w:val="Strong"/>
          <w:b w:val="0"/>
        </w:rPr>
        <w:t xml:space="preserve">treatment </w:t>
      </w:r>
      <w:r w:rsidR="00CC2B8A">
        <w:rPr>
          <w:rStyle w:val="Strong"/>
          <w:b w:val="0"/>
        </w:rPr>
        <w:t xml:space="preserve">goal </w:t>
      </w:r>
      <w:r w:rsidR="00161593">
        <w:rPr>
          <w:rStyle w:val="Strong"/>
          <w:b w:val="0"/>
        </w:rPr>
        <w:t xml:space="preserve">to maximise length of life and quality of life </w:t>
      </w:r>
      <w:r w:rsidR="00645CAC">
        <w:rPr>
          <w:rStyle w:val="Strong"/>
          <w:b w:val="0"/>
        </w:rPr>
        <w:t>for patients. Therefo</w:t>
      </w:r>
      <w:r w:rsidR="00161593">
        <w:rPr>
          <w:rStyle w:val="Strong"/>
          <w:b w:val="0"/>
        </w:rPr>
        <w:t>re</w:t>
      </w:r>
      <w:r w:rsidR="00953495">
        <w:rPr>
          <w:rStyle w:val="Strong"/>
          <w:b w:val="0"/>
        </w:rPr>
        <w:t>,</w:t>
      </w:r>
      <w:r w:rsidR="00161593">
        <w:rPr>
          <w:rStyle w:val="Strong"/>
          <w:b w:val="0"/>
        </w:rPr>
        <w:t xml:space="preserve"> selection of specific agents </w:t>
      </w:r>
      <w:r w:rsidR="002D007A">
        <w:rPr>
          <w:rStyle w:val="Strong"/>
          <w:b w:val="0"/>
        </w:rPr>
        <w:t>is</w:t>
      </w:r>
      <w:r w:rsidR="00161593">
        <w:rPr>
          <w:rStyle w:val="Strong"/>
          <w:b w:val="0"/>
        </w:rPr>
        <w:t xml:space="preserve"> based on a number of factors</w:t>
      </w:r>
      <w:r w:rsidR="00CC2B8A">
        <w:rPr>
          <w:rStyle w:val="Strong"/>
          <w:b w:val="0"/>
        </w:rPr>
        <w:t xml:space="preserve"> such as, </w:t>
      </w:r>
      <w:r w:rsidR="00CC2B8A" w:rsidRPr="00CC2B8A">
        <w:rPr>
          <w:rFonts w:ascii="Calibri" w:eastAsia="Calibri" w:hAnsi="Calibri" w:cs="Times New Roman"/>
          <w:bCs/>
          <w:lang w:val="en-GB"/>
        </w:rPr>
        <w:t>tumour stage and grade, symptoms and patient factors</w:t>
      </w:r>
      <w:r w:rsidR="005E0656">
        <w:rPr>
          <w:rStyle w:val="Strong"/>
        </w:rPr>
        <w:t xml:space="preserve"> </w:t>
      </w:r>
      <w:r w:rsidR="005E0656" w:rsidRPr="005E0656">
        <w:rPr>
          <w:rStyle w:val="Strong"/>
          <w:b w:val="0"/>
        </w:rPr>
        <w:t>such toler</w:t>
      </w:r>
      <w:r w:rsidR="005E0656">
        <w:rPr>
          <w:rStyle w:val="Strong"/>
          <w:b w:val="0"/>
        </w:rPr>
        <w:t>a</w:t>
      </w:r>
      <w:r w:rsidR="005E0656" w:rsidRPr="005E0656">
        <w:rPr>
          <w:rStyle w:val="Strong"/>
          <w:b w:val="0"/>
        </w:rPr>
        <w:t>bility levels.</w:t>
      </w:r>
    </w:p>
    <w:p w14:paraId="3A942098" w14:textId="77777777" w:rsidR="002D007A" w:rsidRPr="00957BE7" w:rsidRDefault="002D007A" w:rsidP="00B46E7F">
      <w:pPr>
        <w:ind w:left="360"/>
        <w:jc w:val="both"/>
        <w:rPr>
          <w:rStyle w:val="Strong"/>
          <w:b w:val="0"/>
          <w:u w:val="single"/>
        </w:rPr>
      </w:pPr>
      <w:r w:rsidRPr="00957BE7">
        <w:rPr>
          <w:rStyle w:val="Strong"/>
          <w:b w:val="0"/>
          <w:u w:val="single"/>
        </w:rPr>
        <w:t>ER+/HER2 negative</w:t>
      </w:r>
    </w:p>
    <w:p w14:paraId="5FB33A8A" w14:textId="5F9C9451" w:rsidR="00980898" w:rsidRDefault="00980898" w:rsidP="00B46E7F">
      <w:pPr>
        <w:ind w:left="360"/>
        <w:jc w:val="both"/>
        <w:rPr>
          <w:rStyle w:val="Strong"/>
          <w:b w:val="0"/>
        </w:rPr>
      </w:pPr>
      <w:r>
        <w:rPr>
          <w:rStyle w:val="Strong"/>
          <w:b w:val="0"/>
        </w:rPr>
        <w:t>For patients who are ER+/HER2</w:t>
      </w:r>
      <w:r w:rsidR="00161593">
        <w:rPr>
          <w:rStyle w:val="Strong"/>
          <w:b w:val="0"/>
        </w:rPr>
        <w:t xml:space="preserve"> negative, </w:t>
      </w:r>
      <w:r>
        <w:rPr>
          <w:rStyle w:val="Strong"/>
          <w:b w:val="0"/>
        </w:rPr>
        <w:t>chemotherapy therapy may include both combination or sequential single agents. Based on the ESMO</w:t>
      </w:r>
      <w:r w:rsidR="00EF7CDD">
        <w:rPr>
          <w:rStyle w:val="FootnoteReference"/>
          <w:rFonts w:ascii="Calibri" w:eastAsia="Calibri" w:hAnsi="Calibri" w:cs="Times New Roman"/>
        </w:rPr>
        <w:footnoteReference w:id="32"/>
      </w:r>
      <w:r>
        <w:rPr>
          <w:rStyle w:val="Strong"/>
          <w:b w:val="0"/>
        </w:rPr>
        <w:t>/</w:t>
      </w:r>
      <w:r w:rsidRPr="00B953A5">
        <w:rPr>
          <w:rStyle w:val="Strong"/>
          <w:b w:val="0"/>
        </w:rPr>
        <w:t>NCCN</w:t>
      </w:r>
      <w:r w:rsidR="00EF7CDD" w:rsidRPr="00B953A5">
        <w:rPr>
          <w:rStyle w:val="FootnoteReference"/>
          <w:rFonts w:ascii="Calibri" w:eastAsia="Calibri" w:hAnsi="Calibri" w:cs="Times New Roman"/>
        </w:rPr>
        <w:footnoteReference w:id="33"/>
      </w:r>
      <w:r>
        <w:rPr>
          <w:rStyle w:val="Strong"/>
          <w:b w:val="0"/>
        </w:rPr>
        <w:t xml:space="preserve"> guidelines, sequential monotherapy is the preferred choice for metastatic breast cancer</w:t>
      </w:r>
      <w:r w:rsidR="0002247F">
        <w:rPr>
          <w:rStyle w:val="Strong"/>
          <w:b w:val="0"/>
        </w:rPr>
        <w:t xml:space="preserve">. </w:t>
      </w:r>
      <w:r w:rsidR="00953495">
        <w:rPr>
          <w:rStyle w:val="Strong"/>
          <w:b w:val="0"/>
        </w:rPr>
        <w:t xml:space="preserve"> </w:t>
      </w:r>
      <w:r w:rsidR="0002247F">
        <w:rPr>
          <w:rStyle w:val="Strong"/>
          <w:b w:val="0"/>
        </w:rPr>
        <w:t xml:space="preserve">Combination chemotherapy should be reserved for patients with rapid clinical progression, life-threatening visceral metastases, or need for rapid symptom and/or disease control. </w:t>
      </w:r>
    </w:p>
    <w:p w14:paraId="79D9995F" w14:textId="77777777" w:rsidR="0002247F" w:rsidRDefault="0002247F" w:rsidP="00B46E7F">
      <w:pPr>
        <w:ind w:left="360"/>
        <w:jc w:val="both"/>
        <w:rPr>
          <w:rStyle w:val="Strong"/>
          <w:b w:val="0"/>
        </w:rPr>
      </w:pPr>
      <w:r>
        <w:rPr>
          <w:rStyle w:val="Strong"/>
          <w:b w:val="0"/>
        </w:rPr>
        <w:t>In the absence of any medical contraindications or patient concerns, a</w:t>
      </w:r>
      <w:r w:rsidR="00953495">
        <w:rPr>
          <w:rStyle w:val="Strong"/>
          <w:b w:val="0"/>
        </w:rPr>
        <w:t xml:space="preserve">nthracycline and </w:t>
      </w:r>
      <w:proofErr w:type="spellStart"/>
      <w:r w:rsidR="00953495">
        <w:rPr>
          <w:rStyle w:val="Strong"/>
          <w:b w:val="0"/>
        </w:rPr>
        <w:t>taxane</w:t>
      </w:r>
      <w:proofErr w:type="spellEnd"/>
      <w:r w:rsidR="00CF1F44">
        <w:rPr>
          <w:rStyle w:val="Strong"/>
          <w:b w:val="0"/>
        </w:rPr>
        <w:t xml:space="preserve"> based regimens, preferably as single agents are considered as first line chemotherapy for HER2 negative metastatic breast cancer</w:t>
      </w:r>
      <w:r w:rsidR="00953495">
        <w:rPr>
          <w:rStyle w:val="Strong"/>
          <w:b w:val="0"/>
        </w:rPr>
        <w:t>, i</w:t>
      </w:r>
      <w:r w:rsidR="00B612D8">
        <w:rPr>
          <w:rStyle w:val="Strong"/>
          <w:b w:val="0"/>
        </w:rPr>
        <w:t xml:space="preserve">n those patients who have not received </w:t>
      </w:r>
      <w:r w:rsidR="00645CAC">
        <w:rPr>
          <w:rStyle w:val="Strong"/>
          <w:b w:val="0"/>
        </w:rPr>
        <w:t>these regiments as (</w:t>
      </w:r>
      <w:r w:rsidR="00B612D8">
        <w:rPr>
          <w:rStyle w:val="Strong"/>
          <w:b w:val="0"/>
        </w:rPr>
        <w:t xml:space="preserve">neo)adjuvant treatment and for whom chemotherapy is appropriate.  </w:t>
      </w:r>
      <w:r w:rsidR="00645CAC">
        <w:rPr>
          <w:rStyle w:val="Strong"/>
          <w:b w:val="0"/>
        </w:rPr>
        <w:t>For patient</w:t>
      </w:r>
      <w:r w:rsidR="00CC2B8A">
        <w:rPr>
          <w:rStyle w:val="Strong"/>
          <w:b w:val="0"/>
        </w:rPr>
        <w:t>s</w:t>
      </w:r>
      <w:r w:rsidR="00645CAC">
        <w:rPr>
          <w:rStyle w:val="Strong"/>
          <w:b w:val="0"/>
        </w:rPr>
        <w:t xml:space="preserve"> who have progressed</w:t>
      </w:r>
      <w:r w:rsidR="002D007A">
        <w:rPr>
          <w:rStyle w:val="Strong"/>
          <w:b w:val="0"/>
        </w:rPr>
        <w:t>,</w:t>
      </w:r>
      <w:r w:rsidR="00645CAC">
        <w:rPr>
          <w:rStyle w:val="Strong"/>
          <w:b w:val="0"/>
        </w:rPr>
        <w:t xml:space="preserve"> o</w:t>
      </w:r>
      <w:r w:rsidR="00953495">
        <w:rPr>
          <w:rStyle w:val="Strong"/>
          <w:b w:val="0"/>
        </w:rPr>
        <w:t xml:space="preserve">ther </w:t>
      </w:r>
      <w:r w:rsidR="00B612D8">
        <w:rPr>
          <w:rStyle w:val="Strong"/>
          <w:b w:val="0"/>
        </w:rPr>
        <w:t>options include capecitabine and vinorelbine (particularly if avoiding alopecia is a priority for the patient).</w:t>
      </w:r>
    </w:p>
    <w:p w14:paraId="2BDDB82A" w14:textId="66864BEE" w:rsidR="00B0564B" w:rsidRDefault="00B612D8" w:rsidP="00B46E7F">
      <w:pPr>
        <w:ind w:left="360"/>
        <w:jc w:val="both"/>
        <w:rPr>
          <w:rStyle w:val="Strong"/>
          <w:b w:val="0"/>
        </w:rPr>
      </w:pPr>
      <w:r>
        <w:rPr>
          <w:rStyle w:val="Strong"/>
          <w:b w:val="0"/>
        </w:rPr>
        <w:t xml:space="preserve">In patients with </w:t>
      </w:r>
      <w:proofErr w:type="spellStart"/>
      <w:r>
        <w:rPr>
          <w:rStyle w:val="Strong"/>
          <w:b w:val="0"/>
        </w:rPr>
        <w:t>taxane</w:t>
      </w:r>
      <w:proofErr w:type="spellEnd"/>
      <w:r>
        <w:rPr>
          <w:rStyle w:val="Strong"/>
          <w:b w:val="0"/>
        </w:rPr>
        <w:t>-naïve and anthracycline resistant meta</w:t>
      </w:r>
      <w:r w:rsidR="00645CAC">
        <w:rPr>
          <w:rStyle w:val="Strong"/>
          <w:b w:val="0"/>
        </w:rPr>
        <w:t>static breast cancer or w</w:t>
      </w:r>
      <w:r w:rsidR="002D007A">
        <w:rPr>
          <w:rStyle w:val="Strong"/>
          <w:b w:val="0"/>
        </w:rPr>
        <w:t>hen</w:t>
      </w:r>
      <w:r w:rsidR="00645CAC">
        <w:rPr>
          <w:rStyle w:val="Strong"/>
          <w:b w:val="0"/>
        </w:rPr>
        <w:t xml:space="preserve"> an</w:t>
      </w:r>
      <w:r>
        <w:rPr>
          <w:rStyle w:val="Strong"/>
          <w:b w:val="0"/>
        </w:rPr>
        <w:t>thracycline maximum cumulative dose or toxicity</w:t>
      </w:r>
      <w:r w:rsidR="002D007A">
        <w:rPr>
          <w:rStyle w:val="Strong"/>
          <w:b w:val="0"/>
        </w:rPr>
        <w:t xml:space="preserve"> has occurred</w:t>
      </w:r>
      <w:r>
        <w:rPr>
          <w:rStyle w:val="Strong"/>
          <w:b w:val="0"/>
        </w:rPr>
        <w:t xml:space="preserve">, </w:t>
      </w:r>
      <w:proofErr w:type="spellStart"/>
      <w:r>
        <w:rPr>
          <w:rStyle w:val="Strong"/>
          <w:b w:val="0"/>
        </w:rPr>
        <w:t>taxane</w:t>
      </w:r>
      <w:proofErr w:type="spellEnd"/>
      <w:r w:rsidR="002D007A">
        <w:rPr>
          <w:rStyle w:val="Strong"/>
          <w:b w:val="0"/>
        </w:rPr>
        <w:t>-</w:t>
      </w:r>
      <w:r>
        <w:rPr>
          <w:rStyle w:val="Strong"/>
          <w:b w:val="0"/>
        </w:rPr>
        <w:t xml:space="preserve">based </w:t>
      </w:r>
      <w:r w:rsidR="00B0564B">
        <w:rPr>
          <w:rStyle w:val="Strong"/>
          <w:b w:val="0"/>
        </w:rPr>
        <w:t>therapy as a single agent would be considered. Other options include capecitabine and vinorelbine (particularly if avoiding alopecia is a priority for the patient).</w:t>
      </w:r>
    </w:p>
    <w:p w14:paraId="73EEF766" w14:textId="77777777" w:rsidR="00B612D8" w:rsidRDefault="00B0564B" w:rsidP="00B46E7F">
      <w:pPr>
        <w:ind w:left="360"/>
        <w:jc w:val="both"/>
        <w:rPr>
          <w:rStyle w:val="Strong"/>
          <w:b w:val="0"/>
        </w:rPr>
      </w:pPr>
      <w:r>
        <w:rPr>
          <w:rStyle w:val="Strong"/>
          <w:b w:val="0"/>
        </w:rPr>
        <w:t xml:space="preserve">In </w:t>
      </w:r>
      <w:r w:rsidR="00C11AED">
        <w:rPr>
          <w:rStyle w:val="Strong"/>
          <w:b w:val="0"/>
        </w:rPr>
        <w:t>patients pre-</w:t>
      </w:r>
      <w:r>
        <w:rPr>
          <w:rStyle w:val="Strong"/>
          <w:b w:val="0"/>
        </w:rPr>
        <w:t xml:space="preserve">treated in the (adjuvant and/or metastatic setting) with an anthracycline and a </w:t>
      </w:r>
      <w:proofErr w:type="spellStart"/>
      <w:r>
        <w:rPr>
          <w:rStyle w:val="Strong"/>
          <w:b w:val="0"/>
        </w:rPr>
        <w:t>taxane</w:t>
      </w:r>
      <w:proofErr w:type="spellEnd"/>
      <w:r>
        <w:rPr>
          <w:rStyle w:val="Strong"/>
          <w:b w:val="0"/>
        </w:rPr>
        <w:t xml:space="preserve">, and who do not need combination chemotherapy, a single agent </w:t>
      </w:r>
      <w:proofErr w:type="spellStart"/>
      <w:r>
        <w:rPr>
          <w:rStyle w:val="Strong"/>
          <w:b w:val="0"/>
        </w:rPr>
        <w:t>capecitabine</w:t>
      </w:r>
      <w:proofErr w:type="spellEnd"/>
      <w:r>
        <w:rPr>
          <w:rStyle w:val="Strong"/>
          <w:b w:val="0"/>
        </w:rPr>
        <w:t xml:space="preserve">, </w:t>
      </w:r>
      <w:proofErr w:type="spellStart"/>
      <w:r>
        <w:rPr>
          <w:rStyle w:val="Strong"/>
          <w:b w:val="0"/>
        </w:rPr>
        <w:t>vinorelbine</w:t>
      </w:r>
      <w:proofErr w:type="spellEnd"/>
      <w:r>
        <w:rPr>
          <w:rStyle w:val="Strong"/>
          <w:b w:val="0"/>
        </w:rPr>
        <w:t xml:space="preserve"> or </w:t>
      </w:r>
      <w:proofErr w:type="spellStart"/>
      <w:r>
        <w:rPr>
          <w:rStyle w:val="Strong"/>
          <w:b w:val="0"/>
        </w:rPr>
        <w:t>eribulin</w:t>
      </w:r>
      <w:proofErr w:type="spellEnd"/>
      <w:r>
        <w:rPr>
          <w:rStyle w:val="Strong"/>
          <w:b w:val="0"/>
        </w:rPr>
        <w:t xml:space="preserve"> are preferred choices. Additional agents may include gemcitabine, platinum agents, </w:t>
      </w:r>
      <w:proofErr w:type="spellStart"/>
      <w:r>
        <w:rPr>
          <w:rStyle w:val="Strong"/>
          <w:b w:val="0"/>
        </w:rPr>
        <w:t>taxan</w:t>
      </w:r>
      <w:r w:rsidR="00645CAC">
        <w:rPr>
          <w:rStyle w:val="Strong"/>
          <w:b w:val="0"/>
        </w:rPr>
        <w:t>es</w:t>
      </w:r>
      <w:proofErr w:type="spellEnd"/>
      <w:r w:rsidR="00645CAC">
        <w:rPr>
          <w:rStyle w:val="Strong"/>
          <w:b w:val="0"/>
        </w:rPr>
        <w:t xml:space="preserve"> and liposomal anthracyclines.</w:t>
      </w:r>
      <w:r>
        <w:rPr>
          <w:rStyle w:val="Strong"/>
          <w:b w:val="0"/>
        </w:rPr>
        <w:t xml:space="preserve"> T</w:t>
      </w:r>
      <w:r w:rsidR="00645CAC">
        <w:rPr>
          <w:rStyle w:val="Strong"/>
          <w:b w:val="0"/>
        </w:rPr>
        <w:t xml:space="preserve">reatment </w:t>
      </w:r>
      <w:r>
        <w:rPr>
          <w:rStyle w:val="Strong"/>
          <w:b w:val="0"/>
        </w:rPr>
        <w:t>decision</w:t>
      </w:r>
      <w:r w:rsidR="00645CAC">
        <w:rPr>
          <w:rStyle w:val="Strong"/>
          <w:b w:val="0"/>
        </w:rPr>
        <w:t>s need to be</w:t>
      </w:r>
      <w:r>
        <w:rPr>
          <w:rStyle w:val="Strong"/>
          <w:b w:val="0"/>
        </w:rPr>
        <w:t xml:space="preserve"> individualised with </w:t>
      </w:r>
      <w:r w:rsidR="00645CAC">
        <w:rPr>
          <w:rStyle w:val="Strong"/>
          <w:b w:val="0"/>
        </w:rPr>
        <w:t>the c</w:t>
      </w:r>
      <w:r>
        <w:rPr>
          <w:rStyle w:val="Strong"/>
          <w:b w:val="0"/>
        </w:rPr>
        <w:t>onsideration of different toxicity profile</w:t>
      </w:r>
      <w:r w:rsidR="002D007A">
        <w:rPr>
          <w:rStyle w:val="Strong"/>
          <w:b w:val="0"/>
        </w:rPr>
        <w:t>s</w:t>
      </w:r>
      <w:r>
        <w:rPr>
          <w:rStyle w:val="Strong"/>
          <w:b w:val="0"/>
        </w:rPr>
        <w:t>, previous exposure and patient preferences.</w:t>
      </w:r>
    </w:p>
    <w:p w14:paraId="31960395" w14:textId="73567469" w:rsidR="002D007A" w:rsidRPr="00C21091" w:rsidRDefault="002B6E15" w:rsidP="00B46E7F">
      <w:pPr>
        <w:ind w:left="360"/>
        <w:jc w:val="both"/>
        <w:rPr>
          <w:rStyle w:val="Strong"/>
          <w:b w:val="0"/>
          <w:u w:val="single"/>
        </w:rPr>
      </w:pPr>
      <w:r>
        <w:rPr>
          <w:rStyle w:val="Strong"/>
          <w:b w:val="0"/>
          <w:u w:val="single"/>
        </w:rPr>
        <w:t>HR negative/HER2 negative</w:t>
      </w:r>
      <w:r w:rsidR="002D007A" w:rsidRPr="00C21091">
        <w:rPr>
          <w:rStyle w:val="Strong"/>
          <w:b w:val="0"/>
          <w:u w:val="single"/>
        </w:rPr>
        <w:t xml:space="preserve"> (TNBC)</w:t>
      </w:r>
    </w:p>
    <w:p w14:paraId="63144AF6" w14:textId="15DEB62E" w:rsidR="00155CEC" w:rsidRPr="00342005" w:rsidRDefault="00953495" w:rsidP="00B46E7F">
      <w:pPr>
        <w:ind w:left="360"/>
        <w:jc w:val="both"/>
        <w:rPr>
          <w:rFonts w:ascii="Calibri" w:eastAsia="Calibri" w:hAnsi="Calibri" w:cs="Times New Roman"/>
        </w:rPr>
      </w:pPr>
      <w:r>
        <w:rPr>
          <w:rStyle w:val="Strong"/>
          <w:b w:val="0"/>
        </w:rPr>
        <w:lastRenderedPageBreak/>
        <w:t>T</w:t>
      </w:r>
      <w:r w:rsidR="00C11AED">
        <w:rPr>
          <w:rStyle w:val="Strong"/>
          <w:b w:val="0"/>
        </w:rPr>
        <w:t xml:space="preserve">riple </w:t>
      </w:r>
      <w:r w:rsidR="005E0656">
        <w:rPr>
          <w:rStyle w:val="Strong"/>
          <w:b w:val="0"/>
        </w:rPr>
        <w:t>negative breast cancer</w:t>
      </w:r>
      <w:r w:rsidR="00C11AED">
        <w:rPr>
          <w:rStyle w:val="Strong"/>
          <w:b w:val="0"/>
        </w:rPr>
        <w:t xml:space="preserve"> patients rema</w:t>
      </w:r>
      <w:r>
        <w:rPr>
          <w:rStyle w:val="Strong"/>
          <w:b w:val="0"/>
        </w:rPr>
        <w:t>in</w:t>
      </w:r>
      <w:r w:rsidR="00C11AED">
        <w:rPr>
          <w:rStyle w:val="Strong"/>
          <w:b w:val="0"/>
        </w:rPr>
        <w:t xml:space="preserve"> the </w:t>
      </w:r>
      <w:r w:rsidR="002D007A">
        <w:rPr>
          <w:rStyle w:val="Strong"/>
          <w:b w:val="0"/>
        </w:rPr>
        <w:t xml:space="preserve">patient </w:t>
      </w:r>
      <w:r w:rsidR="001F4091">
        <w:rPr>
          <w:rStyle w:val="Strong"/>
          <w:b w:val="0"/>
        </w:rPr>
        <w:t xml:space="preserve">group with the </w:t>
      </w:r>
      <w:r w:rsidR="00C11AED">
        <w:rPr>
          <w:rStyle w:val="Strong"/>
          <w:b w:val="0"/>
        </w:rPr>
        <w:t xml:space="preserve">largest unmet need within advanced </w:t>
      </w:r>
      <w:r w:rsidR="00342005">
        <w:rPr>
          <w:rStyle w:val="Strong"/>
          <w:b w:val="0"/>
        </w:rPr>
        <w:t xml:space="preserve">metastatic </w:t>
      </w:r>
      <w:r w:rsidR="00C11AED">
        <w:rPr>
          <w:rStyle w:val="Strong"/>
          <w:b w:val="0"/>
        </w:rPr>
        <w:t xml:space="preserve">breast cancer. Anthracyclines and </w:t>
      </w:r>
      <w:proofErr w:type="spellStart"/>
      <w:r w:rsidR="00C11AED">
        <w:rPr>
          <w:rStyle w:val="Strong"/>
          <w:b w:val="0"/>
        </w:rPr>
        <w:t>taxane</w:t>
      </w:r>
      <w:proofErr w:type="spellEnd"/>
      <w:r w:rsidR="001F4091">
        <w:rPr>
          <w:rStyle w:val="Strong"/>
          <w:b w:val="0"/>
        </w:rPr>
        <w:t>-</w:t>
      </w:r>
      <w:r w:rsidR="00C11AED">
        <w:rPr>
          <w:rStyle w:val="Strong"/>
          <w:b w:val="0"/>
        </w:rPr>
        <w:t>based chemotherapy is recommended as</w:t>
      </w:r>
      <w:r w:rsidR="006D203C">
        <w:rPr>
          <w:rStyle w:val="Strong"/>
          <w:b w:val="0"/>
        </w:rPr>
        <w:t xml:space="preserve"> initial treatment.</w:t>
      </w:r>
    </w:p>
    <w:p w14:paraId="1BB564AB" w14:textId="77777777" w:rsidR="002A50FD" w:rsidRPr="00881F93" w:rsidRDefault="005C3AE7" w:rsidP="005C3AE7">
      <w:pPr>
        <w:pStyle w:val="Subtitle"/>
      </w:pPr>
      <w:r>
        <w:t xml:space="preserve">PART 6b – </w:t>
      </w:r>
      <w:r w:rsidR="002A50FD" w:rsidRPr="00881F93">
        <w:t>INFORMATION ABOUT THE INTERVENTION</w:t>
      </w:r>
    </w:p>
    <w:p w14:paraId="18E3B2B0" w14:textId="7777777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724AD71C" w14:textId="33806CBB" w:rsidR="00342005" w:rsidRPr="00B46E7F" w:rsidRDefault="00342005" w:rsidP="00B46E7F">
      <w:pPr>
        <w:shd w:val="clear" w:color="auto" w:fill="FFFFFF"/>
        <w:spacing w:before="0" w:after="0"/>
        <w:ind w:left="360"/>
        <w:jc w:val="both"/>
        <w:rPr>
          <w:rStyle w:val="Strong"/>
          <w:b w:val="0"/>
        </w:rPr>
      </w:pPr>
      <w:r w:rsidRPr="00B46E7F">
        <w:rPr>
          <w:rStyle w:val="Strong"/>
          <w:b w:val="0"/>
        </w:rPr>
        <w:t>Based on the guideline</w:t>
      </w:r>
      <w:r w:rsidR="001F4091">
        <w:rPr>
          <w:rStyle w:val="Strong"/>
          <w:b w:val="0"/>
        </w:rPr>
        <w:t>s</w:t>
      </w:r>
      <w:r w:rsidRPr="00B46E7F">
        <w:rPr>
          <w:rStyle w:val="Strong"/>
          <w:b w:val="0"/>
        </w:rPr>
        <w:t xml:space="preserve"> discussed above in #26, germline </w:t>
      </w:r>
      <w:r w:rsidRPr="003D2590">
        <w:rPr>
          <w:rStyle w:val="Strong"/>
          <w:b w:val="0"/>
          <w:i/>
        </w:rPr>
        <w:t xml:space="preserve">BRCA </w:t>
      </w:r>
      <w:r w:rsidRPr="00B46E7F">
        <w:rPr>
          <w:rStyle w:val="Strong"/>
          <w:b w:val="0"/>
        </w:rPr>
        <w:t xml:space="preserve">mutation testing is generally limited to high risk patients (young, family history of breast or ovarian cancer or TNBC).  The stage of disease at which </w:t>
      </w:r>
      <w:r w:rsidRPr="003D2590">
        <w:rPr>
          <w:rStyle w:val="Strong"/>
          <w:b w:val="0"/>
          <w:i/>
        </w:rPr>
        <w:t>BRCA</w:t>
      </w:r>
      <w:r w:rsidRPr="00B46E7F">
        <w:rPr>
          <w:rStyle w:val="Strong"/>
          <w:b w:val="0"/>
        </w:rPr>
        <w:t xml:space="preserve"> testing is offered is also determined by the histological subtypes of the disease. For example, patients who are hormone receptor positive may</w:t>
      </w:r>
      <w:r w:rsidR="001F4091">
        <w:rPr>
          <w:rStyle w:val="Strong"/>
          <w:b w:val="0"/>
        </w:rPr>
        <w:t xml:space="preserve"> </w:t>
      </w:r>
      <w:r w:rsidRPr="00B46E7F">
        <w:rPr>
          <w:rStyle w:val="Strong"/>
          <w:b w:val="0"/>
        </w:rPr>
        <w:t>be offered BRCA testing when they are resistan</w:t>
      </w:r>
      <w:r w:rsidR="001F4091">
        <w:rPr>
          <w:rStyle w:val="Strong"/>
          <w:b w:val="0"/>
        </w:rPr>
        <w:t xml:space="preserve">t </w:t>
      </w:r>
      <w:r w:rsidRPr="00B46E7F">
        <w:rPr>
          <w:rStyle w:val="Strong"/>
          <w:b w:val="0"/>
        </w:rPr>
        <w:t>to endocrine therapy</w:t>
      </w:r>
      <w:r w:rsidR="001F4091">
        <w:rPr>
          <w:rStyle w:val="Strong"/>
          <w:b w:val="0"/>
        </w:rPr>
        <w:t>, while</w:t>
      </w:r>
      <w:r w:rsidRPr="00B46E7F">
        <w:rPr>
          <w:rStyle w:val="Strong"/>
          <w:b w:val="0"/>
        </w:rPr>
        <w:t xml:space="preserve"> patients who are diagnosed with TNBC may be offered </w:t>
      </w:r>
      <w:r w:rsidRPr="002B6E15">
        <w:rPr>
          <w:rStyle w:val="Strong"/>
          <w:b w:val="0"/>
          <w:i/>
        </w:rPr>
        <w:t>BRCA</w:t>
      </w:r>
      <w:r w:rsidR="001F4091">
        <w:rPr>
          <w:rStyle w:val="Strong"/>
          <w:b w:val="0"/>
        </w:rPr>
        <w:t xml:space="preserve"> testing</w:t>
      </w:r>
      <w:r w:rsidRPr="00B46E7F">
        <w:rPr>
          <w:rStyle w:val="Strong"/>
          <w:b w:val="0"/>
        </w:rPr>
        <w:t xml:space="preserve"> after th</w:t>
      </w:r>
      <w:r w:rsidR="001F4091">
        <w:rPr>
          <w:rStyle w:val="Strong"/>
          <w:b w:val="0"/>
        </w:rPr>
        <w:t>eir</w:t>
      </w:r>
      <w:r w:rsidRPr="00B46E7F">
        <w:rPr>
          <w:rStyle w:val="Strong"/>
          <w:b w:val="0"/>
        </w:rPr>
        <w:t xml:space="preserve"> diagnosis.</w:t>
      </w:r>
    </w:p>
    <w:p w14:paraId="3C2B50D2" w14:textId="77777777" w:rsidR="00342005" w:rsidRDefault="00342005" w:rsidP="00342005">
      <w:pPr>
        <w:shd w:val="clear" w:color="auto" w:fill="FFFFFF"/>
        <w:spacing w:before="0" w:after="0"/>
        <w:ind w:left="426"/>
        <w:jc w:val="both"/>
        <w:rPr>
          <w:lang w:val="en-GB"/>
        </w:rPr>
      </w:pPr>
    </w:p>
    <w:p w14:paraId="773E1416" w14:textId="71C084EF" w:rsidR="00342005" w:rsidRPr="003D2590" w:rsidRDefault="00342005" w:rsidP="003D2590">
      <w:pPr>
        <w:shd w:val="clear" w:color="auto" w:fill="FFFFFF"/>
        <w:spacing w:before="0" w:after="0"/>
        <w:ind w:left="360"/>
        <w:jc w:val="both"/>
      </w:pPr>
      <w:r w:rsidRPr="00B46E7F">
        <w:t xml:space="preserve">Patients who meet the criteria for </w:t>
      </w:r>
      <w:r w:rsidRPr="002B6E15">
        <w:rPr>
          <w:i/>
        </w:rPr>
        <w:t>BRCA</w:t>
      </w:r>
      <w:r w:rsidRPr="00B46E7F">
        <w:t xml:space="preserve"> testing can be referred for testing by a clinical geneticist or genetic counsellor. Cancer patients are usually referred for genetic counselling by a medical oncologist. </w:t>
      </w:r>
      <w:r>
        <w:t xml:space="preserve"> </w:t>
      </w:r>
      <w:r w:rsidRPr="00B46E7F">
        <w:t>At-risk relatives are usually referred for genetic counselling by a general practitioner.</w:t>
      </w:r>
      <w:r w:rsidR="001F4091">
        <w:t xml:space="preserve"> </w:t>
      </w:r>
      <w:r w:rsidRPr="002B6E15">
        <w:rPr>
          <w:i/>
        </w:rPr>
        <w:t xml:space="preserve">BRCA </w:t>
      </w:r>
      <w:r w:rsidRPr="00B46E7F">
        <w:t>testing</w:t>
      </w:r>
      <w:r w:rsidR="001F4091">
        <w:t xml:space="preserve"> </w:t>
      </w:r>
      <w:r w:rsidRPr="00B46E7F">
        <w:t xml:space="preserve">is generally limited to “high risk” patients (young, family history of breast or ovarian cancer, TNBC) as </w:t>
      </w:r>
      <w:r w:rsidR="003D2590">
        <w:t>specified by country guidelines.</w:t>
      </w:r>
    </w:p>
    <w:p w14:paraId="239591B2" w14:textId="77777777" w:rsidR="00535181" w:rsidRDefault="00535181" w:rsidP="00B46E7F">
      <w:pPr>
        <w:ind w:left="360"/>
      </w:pPr>
      <w:r>
        <w:t>The current key components and clinical steps involved in delive</w:t>
      </w:r>
      <w:r w:rsidR="002D212F">
        <w:t xml:space="preserve">ring a germline </w:t>
      </w:r>
      <w:r w:rsidR="002D212F" w:rsidRPr="002D212F">
        <w:rPr>
          <w:i/>
        </w:rPr>
        <w:t xml:space="preserve">BRCA </w:t>
      </w:r>
      <w:r>
        <w:t>mutation test are as follows:</w:t>
      </w:r>
    </w:p>
    <w:p w14:paraId="3C031D53" w14:textId="77777777" w:rsidR="00535181" w:rsidRDefault="00535181" w:rsidP="007F3FCD">
      <w:pPr>
        <w:pStyle w:val="ListParagraph"/>
        <w:numPr>
          <w:ilvl w:val="0"/>
          <w:numId w:val="16"/>
        </w:numPr>
        <w:spacing w:before="0" w:after="0"/>
        <w:contextualSpacing w:val="0"/>
        <w:jc w:val="both"/>
      </w:pPr>
      <w:r>
        <w:t>Patient is referred to Genetic Services/Familial Cancer Centre by a medical practitioner for a pre-test consultation.</w:t>
      </w:r>
    </w:p>
    <w:p w14:paraId="5E88D3D0" w14:textId="77777777" w:rsidR="00535181" w:rsidRPr="00535181" w:rsidRDefault="00535181" w:rsidP="007F3FCD">
      <w:pPr>
        <w:pStyle w:val="ListParagraph"/>
        <w:numPr>
          <w:ilvl w:val="0"/>
          <w:numId w:val="16"/>
        </w:numPr>
        <w:spacing w:before="0" w:after="0"/>
        <w:contextualSpacing w:val="0"/>
        <w:jc w:val="both"/>
      </w:pPr>
      <w:r>
        <w:t>Genetic counselling with Genetic Services/Familial Cancer Centre team and patient. Genetic Services/Familial Cancer Centre team provides information about genetics, inheritance (family risk) and genetic testing. The patient decides to take a genetic test i.e. the g</w:t>
      </w:r>
      <w:r w:rsidR="002D212F">
        <w:t xml:space="preserve">ermline </w:t>
      </w:r>
      <w:r w:rsidRPr="002D212F">
        <w:rPr>
          <w:i/>
        </w:rPr>
        <w:t>BRCA</w:t>
      </w:r>
      <w:r>
        <w:t xml:space="preserve"> mutation test.  The patient will provide a signed consent form to Genetic Services who will order the </w:t>
      </w:r>
      <w:r w:rsidRPr="002D212F">
        <w:rPr>
          <w:i/>
        </w:rPr>
        <w:t>BRCA</w:t>
      </w:r>
      <w:r>
        <w:t xml:space="preserve"> test and order the collection of a blood sample to be taken. Oncology teams are currently being trained in genetic mainstreaming the oncologist or “treating specialist” can also sign the pathology request form and arrange for the blood collection.</w:t>
      </w:r>
    </w:p>
    <w:p w14:paraId="4232CA86" w14:textId="77777777" w:rsidR="00535181" w:rsidRDefault="00535181" w:rsidP="007F3FCD">
      <w:pPr>
        <w:pStyle w:val="ListParagraph"/>
        <w:numPr>
          <w:ilvl w:val="0"/>
          <w:numId w:val="16"/>
        </w:numPr>
        <w:spacing w:before="0" w:after="0"/>
        <w:contextualSpacing w:val="0"/>
        <w:jc w:val="both"/>
      </w:pPr>
      <w:r>
        <w:t xml:space="preserve">Patient’s blood sample is taken and send to a pathology laboratory where </w:t>
      </w:r>
      <w:r w:rsidRPr="002D212F">
        <w:rPr>
          <w:i/>
        </w:rPr>
        <w:t>BRCA</w:t>
      </w:r>
      <w:r>
        <w:t xml:space="preserve"> testing is performed. The turnaround for test results is around 3 to 8 weeks. </w:t>
      </w:r>
    </w:p>
    <w:p w14:paraId="3190491A" w14:textId="77777777" w:rsidR="00535181" w:rsidRDefault="00535181" w:rsidP="007F3FCD">
      <w:pPr>
        <w:pStyle w:val="ListParagraph"/>
        <w:numPr>
          <w:ilvl w:val="0"/>
          <w:numId w:val="16"/>
        </w:numPr>
        <w:spacing w:before="0" w:after="0"/>
        <w:contextualSpacing w:val="0"/>
        <w:jc w:val="both"/>
      </w:pPr>
      <w:r>
        <w:t xml:space="preserve">The results are send to the Genetic Services/ Familial Cancer Centre and treating medical practitioner.  If a </w:t>
      </w:r>
      <w:r w:rsidRPr="002D212F">
        <w:rPr>
          <w:i/>
        </w:rPr>
        <w:t>BRCA</w:t>
      </w:r>
      <w:r>
        <w:t xml:space="preserve"> mutation is detected, a face to face post-test counselling appointment with the patient and their family is arranged to deliver the results. If the results do not detect a mutation, but a VUS (variant of unknown significant result) or strong family history will also result in a face-to- face appointment. </w:t>
      </w:r>
    </w:p>
    <w:p w14:paraId="07513CCC" w14:textId="685DD82B" w:rsidR="003B4073" w:rsidRPr="00535181" w:rsidRDefault="0002013F" w:rsidP="007F3FCD">
      <w:pPr>
        <w:pStyle w:val="ListParagraph"/>
        <w:numPr>
          <w:ilvl w:val="0"/>
          <w:numId w:val="16"/>
        </w:numPr>
        <w:spacing w:before="0" w:after="0"/>
        <w:contextualSpacing w:val="0"/>
        <w:jc w:val="both"/>
      </w:pPr>
      <w:r>
        <w:t xml:space="preserve">Based on a positive </w:t>
      </w:r>
      <w:proofErr w:type="spellStart"/>
      <w:r w:rsidRPr="0002013F">
        <w:rPr>
          <w:i/>
        </w:rPr>
        <w:t>BRCA</w:t>
      </w:r>
      <w:r>
        <w:t>m</w:t>
      </w:r>
      <w:proofErr w:type="spellEnd"/>
      <w:r>
        <w:t xml:space="preserve"> </w:t>
      </w:r>
      <w:r w:rsidR="00535181">
        <w:t xml:space="preserve">result the medical practitioner will consider prescribing </w:t>
      </w:r>
      <w:proofErr w:type="spellStart"/>
      <w:r w:rsidR="00535181">
        <w:t>Olaparib</w:t>
      </w:r>
      <w:proofErr w:type="spellEnd"/>
      <w:r w:rsidR="00535181">
        <w:t xml:space="preserve"> to the patient with metastatic breast cancer if they meet the PBS criteria to access treatment.</w:t>
      </w:r>
    </w:p>
    <w:p w14:paraId="2B566828" w14:textId="77777777" w:rsidR="000A7C1D" w:rsidRDefault="002A6753" w:rsidP="000A7C1D">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r w:rsidR="000A7C1D">
        <w:t xml:space="preserve"> </w:t>
      </w:r>
    </w:p>
    <w:p w14:paraId="104878C7" w14:textId="77777777" w:rsidR="000A7C1D" w:rsidRDefault="000A7C1D" w:rsidP="000A7C1D">
      <w:pPr>
        <w:pStyle w:val="Heading2"/>
        <w:numPr>
          <w:ilvl w:val="0"/>
          <w:numId w:val="0"/>
        </w:numPr>
        <w:ind w:left="360"/>
        <w:rPr>
          <w:b w:val="0"/>
          <w:szCs w:val="22"/>
        </w:rPr>
      </w:pPr>
      <w:r w:rsidRPr="000A7C1D">
        <w:rPr>
          <w:b w:val="0"/>
          <w:szCs w:val="22"/>
        </w:rPr>
        <w:t>The test does not have a registered trademark</w:t>
      </w:r>
    </w:p>
    <w:p w14:paraId="6529ABD5" w14:textId="736976A6" w:rsidR="00A34959" w:rsidRDefault="003B4073" w:rsidP="00A34959">
      <w:pPr>
        <w:pStyle w:val="Heading2"/>
        <w:numPr>
          <w:ilvl w:val="0"/>
          <w:numId w:val="0"/>
        </w:numPr>
        <w:ind w:left="360"/>
        <w:rPr>
          <w:b w:val="0"/>
        </w:rPr>
      </w:pPr>
      <w:r w:rsidRPr="000A7C1D">
        <w:rPr>
          <w:b w:val="0"/>
        </w:rPr>
        <w:t>OLAPARIB</w:t>
      </w:r>
      <w:r w:rsidRPr="000A7C1D">
        <w:rPr>
          <w:rFonts w:ascii="Calibri" w:eastAsia="Calibri" w:hAnsi="Calibri" w:cs="Calibri"/>
          <w:b w:val="0"/>
        </w:rPr>
        <w:t>®</w:t>
      </w:r>
      <w:r w:rsidRPr="000A7C1D">
        <w:rPr>
          <w:b w:val="0"/>
        </w:rPr>
        <w:t xml:space="preserve"> is a registered trade mark</w:t>
      </w:r>
    </w:p>
    <w:p w14:paraId="2FF9A58F" w14:textId="77777777" w:rsidR="00A34959" w:rsidRPr="00A34959" w:rsidRDefault="00A34959" w:rsidP="00A34959"/>
    <w:p w14:paraId="627844B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AF24C66" w14:textId="0E052AEB" w:rsidR="00B76F00" w:rsidRDefault="00B76F00" w:rsidP="00B46E7F">
      <w:pPr>
        <w:ind w:left="360"/>
        <w:jc w:val="both"/>
      </w:pPr>
      <w:r>
        <w:t>Yes, inclusion of g</w:t>
      </w:r>
      <w:r w:rsidR="0079146A">
        <w:t xml:space="preserve">ermline </w:t>
      </w:r>
      <w:r w:rsidRPr="002D212F">
        <w:rPr>
          <w:i/>
        </w:rPr>
        <w:t>BRCA</w:t>
      </w:r>
      <w:r w:rsidR="0079146A">
        <w:t xml:space="preserve"> </w:t>
      </w:r>
      <w:r>
        <w:t>m</w:t>
      </w:r>
      <w:r w:rsidR="0079146A">
        <w:t>utation</w:t>
      </w:r>
      <w:r>
        <w:t xml:space="preserve"> testing on the MBS to determine eligibility for PBS access to </w:t>
      </w:r>
      <w:proofErr w:type="spellStart"/>
      <w:r>
        <w:t>olaparib</w:t>
      </w:r>
      <w:proofErr w:type="spellEnd"/>
      <w:r>
        <w:t xml:space="preserve"> treatment would present a new approach to advanced / metastatic br</w:t>
      </w:r>
      <w:r w:rsidR="00093C21">
        <w:t xml:space="preserve">east cancer patient management particularly </w:t>
      </w:r>
      <w:r w:rsidR="00CB00B5">
        <w:t>for</w:t>
      </w:r>
      <w:r w:rsidR="00093C21">
        <w:t xml:space="preserve"> patients who ar</w:t>
      </w:r>
      <w:r w:rsidR="005E0656">
        <w:t xml:space="preserve">e hormone receptor positive (and includes </w:t>
      </w:r>
      <w:r w:rsidR="00093C21">
        <w:t>HER2 negative</w:t>
      </w:r>
      <w:r w:rsidR="005E0656">
        <w:t xml:space="preserve"> and triple negative patients)</w:t>
      </w:r>
      <w:r w:rsidR="00093C21">
        <w:t>.</w:t>
      </w:r>
    </w:p>
    <w:p w14:paraId="7C0FF3ED"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B0DC22A" w14:textId="77777777" w:rsidR="00A9187C" w:rsidRDefault="00093C21" w:rsidP="00B46E7F">
      <w:pPr>
        <w:ind w:left="360"/>
        <w:jc w:val="both"/>
      </w:pPr>
      <w:r w:rsidRPr="002B6E15">
        <w:rPr>
          <w:i/>
        </w:rPr>
        <w:lastRenderedPageBreak/>
        <w:t>BRCA</w:t>
      </w:r>
      <w:r>
        <w:t xml:space="preserve"> testing is currently </w:t>
      </w:r>
      <w:r w:rsidR="000D447A">
        <w:t xml:space="preserve">well established in Australia.  It is </w:t>
      </w:r>
      <w:r>
        <w:t>performed</w:t>
      </w:r>
      <w:r w:rsidRPr="00CC5DA9">
        <w:t xml:space="preserve"> by at least 8 public and 1 private path</w:t>
      </w:r>
      <w:r>
        <w:t>ology laboratories in Australia. A testing centre in available in each s</w:t>
      </w:r>
      <w:r w:rsidR="00D55D65">
        <w:t>tate/territor</w:t>
      </w:r>
      <w:r w:rsidR="00A9187C">
        <w:t>y (</w:t>
      </w:r>
      <w:r w:rsidR="00D55D65">
        <w:t>except for</w:t>
      </w:r>
      <w:r>
        <w:t xml:space="preserve"> the Northern Territory). </w:t>
      </w:r>
      <w:r w:rsidR="00A9187C">
        <w:t xml:space="preserve"> All states/territories in</w:t>
      </w:r>
      <w:r w:rsidR="00D55D65">
        <w:t xml:space="preserve"> </w:t>
      </w:r>
      <w:r w:rsidR="00A9187C">
        <w:t>Australia have at least one publically funded Genetic Service centre availab</w:t>
      </w:r>
      <w:r w:rsidR="00817690">
        <w:t>l</w:t>
      </w:r>
      <w:r w:rsidR="00A9187C">
        <w:t xml:space="preserve">e to patients and their families.  </w:t>
      </w:r>
    </w:p>
    <w:p w14:paraId="54A86E8A" w14:textId="1F6477D0" w:rsidR="00A630D7" w:rsidRPr="003A0817" w:rsidRDefault="00A630D7" w:rsidP="003A0817">
      <w:pPr>
        <w:ind w:left="330"/>
        <w:jc w:val="both"/>
        <w:rPr>
          <w:color w:val="0000FF" w:themeColor="hyperlink"/>
          <w:highlight w:val="yellow"/>
          <w:u w:val="single"/>
        </w:rPr>
      </w:pPr>
      <w:r w:rsidRPr="00D81CDC">
        <w:t xml:space="preserve">Because </w:t>
      </w:r>
      <w:proofErr w:type="spellStart"/>
      <w:r w:rsidRPr="00144869">
        <w:rPr>
          <w:i/>
        </w:rPr>
        <w:t>BRCA</w:t>
      </w:r>
      <w:r w:rsidRPr="00D81CDC">
        <w:t>m</w:t>
      </w:r>
      <w:proofErr w:type="spellEnd"/>
      <w:r w:rsidRPr="00D81CDC">
        <w:t xml:space="preserve"> testing provides prognostic information that can have an impact on family members, testing is ordinarily preceded and followed by genetic counselling. Pre-test genetic counselling is important to ensure that individuals understand the likelihood of a </w:t>
      </w:r>
      <w:proofErr w:type="spellStart"/>
      <w:r w:rsidRPr="00144869">
        <w:rPr>
          <w:i/>
        </w:rPr>
        <w:t>BRCA</w:t>
      </w:r>
      <w:r w:rsidRPr="00D81CDC">
        <w:t>m</w:t>
      </w:r>
      <w:proofErr w:type="spellEnd"/>
      <w:r w:rsidRPr="00D81CDC">
        <w:t xml:space="preserve"> being identified and the risks and benefits of being tested. Post-test genetic counselling helps patients understand the practical meaning of the results including implications for family members, including risk-reducing strategies that are available if a </w:t>
      </w:r>
      <w:proofErr w:type="spellStart"/>
      <w:r w:rsidRPr="002B6E15">
        <w:rPr>
          <w:i/>
        </w:rPr>
        <w:t>BRCA</w:t>
      </w:r>
      <w:r w:rsidRPr="00D81CDC">
        <w:t>m</w:t>
      </w:r>
      <w:proofErr w:type="spellEnd"/>
      <w:r w:rsidRPr="00D81CDC">
        <w:t xml:space="preserve"> is identified</w:t>
      </w:r>
      <w:r w:rsidR="00144869">
        <w:t>.</w:t>
      </w:r>
      <w:r w:rsidR="00B953A5">
        <w:rPr>
          <w:rStyle w:val="FootnoteReference"/>
        </w:rPr>
        <w:footnoteReference w:id="34"/>
      </w:r>
      <w:r w:rsidR="000A7C1D">
        <w:t xml:space="preserve"> </w:t>
      </w:r>
    </w:p>
    <w:p w14:paraId="7BA8AC12" w14:textId="77777777" w:rsidR="009D5354" w:rsidRDefault="00791C8D" w:rsidP="008F0B4E">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0DE22D5" w14:textId="77777777" w:rsidR="009D5354" w:rsidRPr="009D5354" w:rsidRDefault="009D5354" w:rsidP="009D5354">
      <w:pPr>
        <w:ind w:left="360"/>
      </w:pPr>
      <w:r w:rsidRPr="00EC1E81">
        <w:t>Not applicable.  No other medical services or healthcare resources need to be delivered at the same time as g</w:t>
      </w:r>
      <w:r w:rsidR="0079146A" w:rsidRPr="00EC1E81">
        <w:t xml:space="preserve">ermline </w:t>
      </w:r>
      <w:r w:rsidRPr="00EC1E81">
        <w:t>BRCA</w:t>
      </w:r>
      <w:r w:rsidR="0079146A" w:rsidRPr="00EC1E81">
        <w:t xml:space="preserve"> </w:t>
      </w:r>
      <w:r w:rsidRPr="00EC1E81">
        <w:t>m</w:t>
      </w:r>
      <w:r w:rsidR="0079146A" w:rsidRPr="00EC1E81">
        <w:t>utation</w:t>
      </w:r>
      <w:r w:rsidRPr="00EC1E81">
        <w:t xml:space="preserve"> testing</w:t>
      </w:r>
      <w:r w:rsidR="00D963FF" w:rsidRPr="00EC1E81">
        <w:t>.</w:t>
      </w:r>
    </w:p>
    <w:p w14:paraId="34CFC170"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3612625" w14:textId="5FA79D4A" w:rsidR="00A95163" w:rsidRDefault="004730FD" w:rsidP="00B46E7F">
      <w:pPr>
        <w:ind w:left="426"/>
      </w:pPr>
      <w:r>
        <w:t>G</w:t>
      </w:r>
      <w:r w:rsidR="0079146A">
        <w:t xml:space="preserve">ermline </w:t>
      </w:r>
      <w:r w:rsidR="00A95163">
        <w:t>BRCA</w:t>
      </w:r>
      <w:r w:rsidR="0079146A">
        <w:t xml:space="preserve"> </w:t>
      </w:r>
      <w:r w:rsidR="00A95163">
        <w:t>m</w:t>
      </w:r>
      <w:r w:rsidR="0079146A">
        <w:t>utation</w:t>
      </w:r>
      <w:r w:rsidR="00A95163">
        <w:t xml:space="preserve"> testing </w:t>
      </w:r>
      <w:r w:rsidR="00A67350">
        <w:t xml:space="preserve">is currently </w:t>
      </w:r>
      <w:r w:rsidR="00A95163">
        <w:t>conducted and the results interpreted and reported by suitably qualified and trained pathologists.</w:t>
      </w:r>
    </w:p>
    <w:p w14:paraId="2191C010" w14:textId="1A085AD9" w:rsidR="00B17E26" w:rsidRDefault="00B17E26" w:rsidP="00A34959">
      <w:pPr>
        <w:pStyle w:val="Heading2"/>
        <w:rPr>
          <w:b w:val="0"/>
        </w:rPr>
      </w:pPr>
      <w:r w:rsidRPr="00154B00">
        <w:t xml:space="preserve">If applicable, advise whether the proposed medical service could be delegated or referred to another professional </w:t>
      </w:r>
      <w:r w:rsidRPr="0073597B">
        <w:t>for</w:t>
      </w:r>
      <w:r w:rsidRPr="00154B00">
        <w:t xml:space="preserve"> delive</w:t>
      </w:r>
      <w:r w:rsidR="00AE1188">
        <w:t>ry:</w:t>
      </w:r>
      <w:r w:rsidR="0002013F">
        <w:t xml:space="preserve"> </w:t>
      </w:r>
      <w:r w:rsidR="00A95163" w:rsidRPr="0002013F">
        <w:rPr>
          <w:b w:val="0"/>
        </w:rPr>
        <w:t>Not applicable</w:t>
      </w:r>
    </w:p>
    <w:p w14:paraId="4D920223" w14:textId="77777777" w:rsidR="00A34959" w:rsidRPr="00A34959" w:rsidRDefault="00A34959" w:rsidP="00A34959"/>
    <w:p w14:paraId="070E70E8" w14:textId="1D36A9A4" w:rsidR="00A34959" w:rsidRDefault="00EA0E25" w:rsidP="00A34959">
      <w:pPr>
        <w:pStyle w:val="Heading2"/>
        <w:rPr>
          <w:b w:val="0"/>
        </w:rPr>
      </w:pPr>
      <w:r w:rsidRPr="00576C6F">
        <w:t xml:space="preserve">If applicable, specify any proposed limitations on who might deliver the proposed medical service, or who </w:t>
      </w:r>
      <w:r w:rsidR="00AE1188" w:rsidRPr="00576C6F">
        <w:t>might provide a referral for it:</w:t>
      </w:r>
      <w:r w:rsidR="00576C6F" w:rsidRPr="00576C6F">
        <w:t xml:space="preserve"> </w:t>
      </w:r>
      <w:r w:rsidR="00576C6F" w:rsidRPr="00576C6F">
        <w:rPr>
          <w:b w:val="0"/>
        </w:rPr>
        <w:t>R</w:t>
      </w:r>
      <w:r w:rsidR="00B9458F" w:rsidRPr="00576C6F">
        <w:rPr>
          <w:b w:val="0"/>
        </w:rPr>
        <w:t>efer to response in #31 above</w:t>
      </w:r>
    </w:p>
    <w:p w14:paraId="5516A81F" w14:textId="77777777" w:rsidR="00A34959" w:rsidRPr="00A34959" w:rsidRDefault="00A34959" w:rsidP="00A34959"/>
    <w:p w14:paraId="10A28D85" w14:textId="77777777" w:rsidR="00E914C3" w:rsidRPr="00E914C3" w:rsidRDefault="00EA0E25" w:rsidP="00E914C3">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71BDC84" w14:textId="3F4DDAD6" w:rsidR="00A95163" w:rsidRPr="00144869" w:rsidRDefault="00362040" w:rsidP="00B46E7F">
      <w:pPr>
        <w:ind w:left="360"/>
        <w:jc w:val="both"/>
        <w:rPr>
          <w:b/>
        </w:rPr>
      </w:pPr>
      <w:r>
        <w:t xml:space="preserve">The medical service will be conducted in pathology laboratories which may be private companies, or may be domiciled within private or public research institutes or hospitals. </w:t>
      </w:r>
      <w:r w:rsidR="00731248" w:rsidRPr="00362040">
        <w:t>All laboratories are accredited</w:t>
      </w:r>
      <w:r w:rsidR="00D963FF" w:rsidRPr="00362040">
        <w:t xml:space="preserve"> to </w:t>
      </w:r>
      <w:r w:rsidR="00731248" w:rsidRPr="00362040">
        <w:t xml:space="preserve">the Royal College of Pathologist of Australasia (RCPA) Quality Assurance Programs. For further information </w:t>
      </w:r>
      <w:r w:rsidR="00D177E9" w:rsidRPr="00362040">
        <w:t xml:space="preserve">please refer to the </w:t>
      </w:r>
      <w:r w:rsidR="00731248" w:rsidRPr="00362040">
        <w:t xml:space="preserve">website: </w:t>
      </w:r>
      <w:hyperlink r:id="rId23" w:tooltip="Link to RCPA website" w:history="1">
        <w:r w:rsidR="00731248" w:rsidRPr="00362040">
          <w:t>https://www.rcpaqap.com.au/home-page</w:t>
        </w:r>
      </w:hyperlink>
    </w:p>
    <w:p w14:paraId="12E78C72" w14:textId="77777777" w:rsidR="005F3F07" w:rsidRDefault="005F033A" w:rsidP="00530204">
      <w:pPr>
        <w:pStyle w:val="Heading2"/>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803B8B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Inpatient private hospital</w:t>
      </w:r>
    </w:p>
    <w:p w14:paraId="21D34E3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Inpatient public hospital</w:t>
      </w:r>
    </w:p>
    <w:p w14:paraId="426CF4E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Outpatient clinic</w:t>
      </w:r>
    </w:p>
    <w:p w14:paraId="68FC99C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Emergency Department</w:t>
      </w:r>
    </w:p>
    <w:p w14:paraId="3DA4999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Consulting rooms</w:t>
      </w:r>
    </w:p>
    <w:p w14:paraId="6EA64E4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Day surgery centre</w:t>
      </w:r>
    </w:p>
    <w:p w14:paraId="7D164B7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Residential aged care facility</w:t>
      </w:r>
    </w:p>
    <w:p w14:paraId="5B5910E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Patient’s home</w:t>
      </w:r>
    </w:p>
    <w:p w14:paraId="02E9780F" w14:textId="77777777" w:rsidR="000A478F" w:rsidRDefault="003B407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0A478F">
        <w:rPr>
          <w:szCs w:val="20"/>
        </w:rPr>
        <w:t xml:space="preserve"> </w:t>
      </w:r>
      <w:r w:rsidR="000A478F">
        <w:t>Laboratory</w:t>
      </w:r>
    </w:p>
    <w:p w14:paraId="51AF95A4"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F14C5">
        <w:rPr>
          <w:szCs w:val="20"/>
        </w:rPr>
      </w:r>
      <w:r w:rsidR="001F14C5">
        <w:rPr>
          <w:szCs w:val="20"/>
        </w:rPr>
        <w:fldChar w:fldCharType="separate"/>
      </w:r>
      <w:r w:rsidRPr="000A5B32">
        <w:rPr>
          <w:szCs w:val="20"/>
        </w:rPr>
        <w:fldChar w:fldCharType="end"/>
      </w:r>
      <w:r>
        <w:rPr>
          <w:szCs w:val="20"/>
        </w:rPr>
        <w:t xml:space="preserve"> </w:t>
      </w:r>
      <w:r>
        <w:t>Other – please specify below</w:t>
      </w:r>
    </w:p>
    <w:p w14:paraId="7361D752" w14:textId="38A936E4" w:rsidR="003B4073" w:rsidRPr="00576C6F" w:rsidRDefault="001B29A1" w:rsidP="00576C6F">
      <w:pPr>
        <w:ind w:left="426"/>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0B8E5F86" w14:textId="77777777" w:rsidR="00A95163" w:rsidRPr="00B46E7F" w:rsidRDefault="00E048ED" w:rsidP="00B46E7F">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r w:rsidR="005F033A">
        <w:rPr>
          <w:b/>
          <w:szCs w:val="20"/>
        </w:rPr>
        <w:t xml:space="preserve"> </w:t>
      </w:r>
      <w:r w:rsidR="003B4073">
        <w:t>Not applicable</w:t>
      </w:r>
    </w:p>
    <w:p w14:paraId="6FF35F89" w14:textId="77777777" w:rsidR="003E30FB" w:rsidRDefault="003E30FB" w:rsidP="00530204">
      <w:pPr>
        <w:pStyle w:val="Heading2"/>
      </w:pPr>
      <w:r>
        <w:t xml:space="preserve">Is the </w:t>
      </w:r>
      <w:r w:rsidRPr="001B29A1">
        <w:t>proposed</w:t>
      </w:r>
      <w:r>
        <w:t xml:space="preserve"> medical service intended to be entirely rendered in Australia?</w:t>
      </w:r>
    </w:p>
    <w:p w14:paraId="66A4EC06" w14:textId="77777777" w:rsidR="000A478F" w:rsidRDefault="003B407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0A478F">
        <w:rPr>
          <w:szCs w:val="20"/>
        </w:rPr>
        <w:t xml:space="preserve"> Yes</w:t>
      </w:r>
    </w:p>
    <w:p w14:paraId="5FFF99B0" w14:textId="77777777" w:rsidR="000A478F" w:rsidRPr="00753C44" w:rsidRDefault="000A478F" w:rsidP="000A478F">
      <w:pPr>
        <w:spacing w:before="0" w:after="0"/>
        <w:ind w:left="426"/>
        <w:rPr>
          <w:szCs w:val="20"/>
        </w:rPr>
      </w:pPr>
      <w:r w:rsidRPr="00753C44">
        <w:rPr>
          <w:szCs w:val="20"/>
        </w:rPr>
        <w:lastRenderedPageBreak/>
        <w:fldChar w:fldCharType="begin">
          <w:ffData>
            <w:name w:val="Check2"/>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09A36A82" w14:textId="77777777" w:rsidR="000A478F" w:rsidRDefault="000A478F" w:rsidP="00881F93">
      <w:pPr>
        <w:rPr>
          <w:b/>
          <w:i/>
          <w:szCs w:val="20"/>
          <w:u w:val="single"/>
        </w:rPr>
      </w:pPr>
      <w:r>
        <w:rPr>
          <w:b/>
          <w:i/>
          <w:szCs w:val="20"/>
          <w:u w:val="single"/>
        </w:rPr>
        <w:br w:type="page"/>
      </w:r>
    </w:p>
    <w:p w14:paraId="5D39A011" w14:textId="77777777" w:rsidR="00306077" w:rsidRDefault="00306077" w:rsidP="00881F93">
      <w:pPr>
        <w:rPr>
          <w:b/>
          <w:i/>
          <w:szCs w:val="20"/>
          <w:u w:val="single"/>
        </w:rPr>
      </w:pPr>
    </w:p>
    <w:p w14:paraId="06BE97C7"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58D15A79"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288C219" w14:textId="235A798C" w:rsidR="00831972" w:rsidRPr="00A630D7" w:rsidRDefault="00615EC1" w:rsidP="00B46E7F">
      <w:pPr>
        <w:ind w:left="360"/>
        <w:jc w:val="both"/>
      </w:pPr>
      <w:r w:rsidRPr="00A630D7">
        <w:t xml:space="preserve">Currently </w:t>
      </w:r>
      <w:r w:rsidR="00831972" w:rsidRPr="00A630D7">
        <w:t>g</w:t>
      </w:r>
      <w:r w:rsidR="0079146A" w:rsidRPr="00A630D7">
        <w:t xml:space="preserve">ermline </w:t>
      </w:r>
      <w:r w:rsidR="00831972" w:rsidRPr="00A630D7">
        <w:rPr>
          <w:i/>
        </w:rPr>
        <w:t>BRCA</w:t>
      </w:r>
      <w:r w:rsidR="0079146A" w:rsidRPr="00A630D7">
        <w:t xml:space="preserve"> </w:t>
      </w:r>
      <w:r w:rsidR="00831972" w:rsidRPr="00A630D7">
        <w:t>m</w:t>
      </w:r>
      <w:r w:rsidR="0079146A" w:rsidRPr="00A630D7">
        <w:t xml:space="preserve">utation </w:t>
      </w:r>
      <w:r w:rsidR="00831972" w:rsidRPr="00A630D7">
        <w:t xml:space="preserve">testing is </w:t>
      </w:r>
      <w:r w:rsidRPr="00A630D7">
        <w:rPr>
          <w:u w:val="single"/>
        </w:rPr>
        <w:t>not</w:t>
      </w:r>
      <w:r w:rsidRPr="00A630D7">
        <w:t xml:space="preserve"> </w:t>
      </w:r>
      <w:r w:rsidR="00831972" w:rsidRPr="00A630D7">
        <w:t xml:space="preserve">funded </w:t>
      </w:r>
      <w:r w:rsidR="00E914C3" w:rsidRPr="00A630D7">
        <w:t xml:space="preserve">by the Commonwealth </w:t>
      </w:r>
      <w:r w:rsidR="00831972" w:rsidRPr="00A630D7">
        <w:t>for patients with advance</w:t>
      </w:r>
      <w:r w:rsidR="00525429" w:rsidRPr="00A630D7">
        <w:t xml:space="preserve">d/metastatic </w:t>
      </w:r>
      <w:r w:rsidR="00831972" w:rsidRPr="00A630D7">
        <w:t xml:space="preserve">breast cancer to determine their </w:t>
      </w:r>
      <w:r w:rsidR="00B23193" w:rsidRPr="00A630D7">
        <w:t xml:space="preserve">status of the </w:t>
      </w:r>
      <w:r w:rsidR="00B23193" w:rsidRPr="00A630D7">
        <w:rPr>
          <w:i/>
        </w:rPr>
        <w:t>BRCA 1</w:t>
      </w:r>
      <w:r w:rsidR="00B23193" w:rsidRPr="00A630D7">
        <w:t xml:space="preserve"> and </w:t>
      </w:r>
      <w:r w:rsidR="00B23193" w:rsidRPr="00A630D7">
        <w:rPr>
          <w:i/>
        </w:rPr>
        <w:t>2</w:t>
      </w:r>
      <w:r w:rsidR="00B23193" w:rsidRPr="00A630D7">
        <w:t xml:space="preserve"> gene</w:t>
      </w:r>
      <w:r w:rsidR="00525429" w:rsidRPr="00A630D7">
        <w:t>.</w:t>
      </w:r>
      <w:r w:rsidR="00576C6F">
        <w:t xml:space="preserve"> Therefore ‘no testing’ is the comparator.</w:t>
      </w:r>
    </w:p>
    <w:p w14:paraId="038B39BD" w14:textId="22AEFA55" w:rsidR="00E60529" w:rsidRPr="005F033A" w:rsidRDefault="00DE56A0" w:rsidP="005F033A">
      <w:pPr>
        <w:ind w:left="360"/>
        <w:jc w:val="both"/>
      </w:pPr>
      <w:r w:rsidRPr="00A630D7">
        <w:t>As discussed in #27, patients with metastatic breast cancer irrespective of a kno</w:t>
      </w:r>
      <w:r w:rsidR="00012B14" w:rsidRPr="00A630D7">
        <w:t xml:space="preserve">wn </w:t>
      </w:r>
      <w:r w:rsidR="00012B14" w:rsidRPr="00A630D7">
        <w:rPr>
          <w:i/>
        </w:rPr>
        <w:t>BRCA</w:t>
      </w:r>
      <w:r w:rsidR="00012B14" w:rsidRPr="00A630D7">
        <w:t xml:space="preserve"> status are treated with anthracycline and</w:t>
      </w:r>
      <w:r w:rsidR="00D81CDC">
        <w:t>/or</w:t>
      </w:r>
      <w:r w:rsidR="00012B14" w:rsidRPr="00A630D7">
        <w:t xml:space="preserve"> </w:t>
      </w:r>
      <w:proofErr w:type="spellStart"/>
      <w:r w:rsidR="00012B14" w:rsidRPr="00A630D7">
        <w:t>taxane</w:t>
      </w:r>
      <w:proofErr w:type="spellEnd"/>
      <w:r w:rsidR="00012B14" w:rsidRPr="00A630D7">
        <w:t xml:space="preserve"> therapy. For </w:t>
      </w:r>
      <w:r w:rsidR="004730FD">
        <w:t xml:space="preserve">a </w:t>
      </w:r>
      <w:r w:rsidR="00012B14" w:rsidRPr="00A630D7">
        <w:rPr>
          <w:iCs/>
        </w:rPr>
        <w:t>HER2</w:t>
      </w:r>
      <w:r w:rsidR="002B6E15">
        <w:rPr>
          <w:rFonts w:cs="Arial"/>
          <w:iCs/>
        </w:rPr>
        <w:t xml:space="preserve"> negative</w:t>
      </w:r>
      <w:r w:rsidR="00012B14" w:rsidRPr="00A630D7">
        <w:t xml:space="preserve"> metastatic breast cancer</w:t>
      </w:r>
      <w:r w:rsidR="00342005" w:rsidRPr="00A630D7">
        <w:t xml:space="preserve"> </w:t>
      </w:r>
      <w:r w:rsidR="004730FD">
        <w:t xml:space="preserve">patient </w:t>
      </w:r>
      <w:r w:rsidR="00342005" w:rsidRPr="00A630D7">
        <w:t>who</w:t>
      </w:r>
      <w:r w:rsidR="00012B14" w:rsidRPr="00A630D7">
        <w:t xml:space="preserve"> has progressed after anthracycline and</w:t>
      </w:r>
      <w:r w:rsidR="00D81CDC">
        <w:t>/or</w:t>
      </w:r>
      <w:r w:rsidR="00576C6F">
        <w:t xml:space="preserve"> </w:t>
      </w:r>
      <w:proofErr w:type="spellStart"/>
      <w:r w:rsidR="00576C6F">
        <w:t>taxane</w:t>
      </w:r>
      <w:proofErr w:type="spellEnd"/>
      <w:r w:rsidR="00576C6F">
        <w:t xml:space="preserve"> therapy; single agent chemotherapy is a treatment option </w:t>
      </w:r>
      <w:r w:rsidR="00012B14" w:rsidRPr="00A630D7">
        <w:t>a</w:t>
      </w:r>
      <w:r w:rsidR="00342005" w:rsidRPr="00A630D7">
        <w:t xml:space="preserve">mong the conventional </w:t>
      </w:r>
      <w:r w:rsidR="00012B14" w:rsidRPr="00A630D7">
        <w:t xml:space="preserve">chemotherapies </w:t>
      </w:r>
      <w:proofErr w:type="spellStart"/>
      <w:r w:rsidR="00012B14" w:rsidRPr="00A630D7">
        <w:t>capecitabine</w:t>
      </w:r>
      <w:proofErr w:type="spellEnd"/>
      <w:r w:rsidR="00012B14" w:rsidRPr="00A630D7">
        <w:t xml:space="preserve">, </w:t>
      </w:r>
      <w:proofErr w:type="spellStart"/>
      <w:r w:rsidR="00012B14" w:rsidRPr="00A630D7">
        <w:t>vinorelbine</w:t>
      </w:r>
      <w:proofErr w:type="spellEnd"/>
      <w:r w:rsidR="00012B14" w:rsidRPr="00A630D7">
        <w:t xml:space="preserve"> and </w:t>
      </w:r>
      <w:proofErr w:type="spellStart"/>
      <w:r w:rsidR="00012B14" w:rsidRPr="00A630D7">
        <w:t>eribulin</w:t>
      </w:r>
      <w:proofErr w:type="spellEnd"/>
      <w:r w:rsidR="00012B14" w:rsidRPr="00A630D7">
        <w:t>.</w:t>
      </w:r>
      <w:r w:rsidR="00954EFA" w:rsidRPr="00A630D7">
        <w:rPr>
          <w:rStyle w:val="FootnoteReference"/>
        </w:rPr>
        <w:footnoteReference w:id="35"/>
      </w:r>
    </w:p>
    <w:p w14:paraId="0F32B67E" w14:textId="465F850E"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r w:rsidR="006B1D79">
        <w:t xml:space="preserve"> </w:t>
      </w:r>
    </w:p>
    <w:p w14:paraId="278FC768" w14:textId="1C2526B2" w:rsidR="006A1038" w:rsidRDefault="00C21091"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A1038">
        <w:rPr>
          <w:szCs w:val="20"/>
        </w:rPr>
        <w:t xml:space="preserve"> Yes (please provide all relevant MBS item numbers below)</w:t>
      </w:r>
    </w:p>
    <w:p w14:paraId="51E1AD22" w14:textId="3C6FC575" w:rsidR="000159B9" w:rsidRDefault="00C21091"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A1038">
        <w:rPr>
          <w:szCs w:val="20"/>
        </w:rPr>
        <w:t xml:space="preserve"> No  </w:t>
      </w:r>
    </w:p>
    <w:p w14:paraId="59BBCEB6" w14:textId="18E4020C" w:rsidR="00D0060D" w:rsidRDefault="00F8792A" w:rsidP="005F033A">
      <w:pPr>
        <w:ind w:left="360"/>
        <w:jc w:val="both"/>
      </w:pPr>
      <w:r>
        <w:t xml:space="preserve">No MBS item has been nominated as the comparator </w:t>
      </w:r>
      <w:r w:rsidR="00525429">
        <w:t xml:space="preserve">A </w:t>
      </w:r>
      <w:r w:rsidR="00D0060D">
        <w:t>simi</w:t>
      </w:r>
      <w:r w:rsidR="00525429">
        <w:t>lar medical service to MBS#</w:t>
      </w:r>
      <w:r w:rsidR="00525429" w:rsidRPr="005B5FF1">
        <w:rPr>
          <w:szCs w:val="20"/>
        </w:rPr>
        <w:t>73295</w:t>
      </w:r>
      <w:r w:rsidR="00525429">
        <w:t xml:space="preserve"> is being sought with this application</w:t>
      </w:r>
      <w:r w:rsidR="00D0060D">
        <w:t xml:space="preserve">. </w:t>
      </w:r>
      <w:r w:rsidR="000E2676">
        <w:t xml:space="preserve">MBS item </w:t>
      </w:r>
      <w:r w:rsidR="004730FD">
        <w:t xml:space="preserve">#73295 </w:t>
      </w:r>
      <w:r w:rsidR="000E2676">
        <w:t xml:space="preserve">pertains to a different patient population. </w:t>
      </w:r>
      <w:r w:rsidR="004730FD">
        <w:t>T</w:t>
      </w:r>
      <w:r w:rsidR="00525429">
        <w:t>his application request</w:t>
      </w:r>
      <w:r w:rsidR="004730FD">
        <w:t>s either</w:t>
      </w:r>
      <w:r w:rsidR="00525429">
        <w:t xml:space="preserve"> a </w:t>
      </w:r>
      <w:r w:rsidR="00D0060D">
        <w:t>new MBS item</w:t>
      </w:r>
      <w:r w:rsidR="004730FD">
        <w:t xml:space="preserve"> or </w:t>
      </w:r>
      <w:r w:rsidR="00D0060D">
        <w:t xml:space="preserve">an amendment </w:t>
      </w:r>
      <w:r w:rsidR="005C2950">
        <w:t>to MBS item #73295, whichever is most appropriate</w:t>
      </w:r>
      <w:r w:rsidR="00525429">
        <w:t>.</w:t>
      </w:r>
    </w:p>
    <w:p w14:paraId="14F60266" w14:textId="77777777" w:rsidR="00AF5D1E"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w:t>
      </w:r>
      <w:r w:rsidR="00F33F1A" w:rsidRPr="00830001">
        <w:t>nominated as the comparator</w:t>
      </w:r>
      <w:r w:rsidR="00F33F1A" w:rsidRPr="00154B00">
        <w:t xml:space="preserve">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2616BBA1" w14:textId="416FBC56" w:rsidR="00F8792A" w:rsidRDefault="005C2950" w:rsidP="00F8792A">
      <w:pPr>
        <w:ind w:left="360"/>
      </w:pPr>
      <w:r>
        <w:t>The n</w:t>
      </w:r>
      <w:r w:rsidR="00576C6F">
        <w:t>ominated comparator is ‘no test’ and</w:t>
      </w:r>
      <w:r>
        <w:t xml:space="preserve"> treat with standard </w:t>
      </w:r>
      <w:r w:rsidR="00576C6F">
        <w:t xml:space="preserve">of </w:t>
      </w:r>
      <w:r>
        <w:t xml:space="preserve">care.  </w:t>
      </w:r>
    </w:p>
    <w:p w14:paraId="3985F74A" w14:textId="23A4DC3A" w:rsidR="00A630D7" w:rsidRDefault="00F8792A" w:rsidP="00830001">
      <w:pPr>
        <w:ind w:left="360"/>
        <w:jc w:val="both"/>
      </w:pPr>
      <w:r w:rsidRPr="00A630D7">
        <w:t>As discussed in #27</w:t>
      </w:r>
      <w:r>
        <w:t xml:space="preserve"> and #39 above</w:t>
      </w:r>
      <w:r w:rsidRPr="00A630D7">
        <w:t xml:space="preserve">, patients with metastatic breast cancer irrespective of a known </w:t>
      </w:r>
      <w:r w:rsidRPr="00A630D7">
        <w:rPr>
          <w:i/>
        </w:rPr>
        <w:t>BRCA</w:t>
      </w:r>
      <w:r w:rsidRPr="00A630D7">
        <w:t xml:space="preserve"> status are treated with anthracycline and</w:t>
      </w:r>
      <w:r>
        <w:t>/or</w:t>
      </w:r>
      <w:r w:rsidRPr="00A630D7">
        <w:t xml:space="preserve"> </w:t>
      </w:r>
      <w:proofErr w:type="spellStart"/>
      <w:r w:rsidRPr="00A630D7">
        <w:t>taxane</w:t>
      </w:r>
      <w:proofErr w:type="spellEnd"/>
      <w:r w:rsidRPr="00A630D7">
        <w:t xml:space="preserve"> therapy. For </w:t>
      </w:r>
      <w:r>
        <w:t xml:space="preserve">a </w:t>
      </w:r>
      <w:r w:rsidRPr="00A630D7">
        <w:rPr>
          <w:iCs/>
        </w:rPr>
        <w:t>HER2</w:t>
      </w:r>
      <w:r w:rsidRPr="00A630D7">
        <w:rPr>
          <w:rFonts w:cs="Arial"/>
          <w:iCs/>
        </w:rPr>
        <w:t>−</w:t>
      </w:r>
      <w:r w:rsidRPr="00A630D7">
        <w:t xml:space="preserve"> metastatic breast cancer </w:t>
      </w:r>
      <w:r>
        <w:t xml:space="preserve">patient </w:t>
      </w:r>
      <w:r w:rsidRPr="00A630D7">
        <w:t>who has progressed after anthracycline and</w:t>
      </w:r>
      <w:r>
        <w:t>/or</w:t>
      </w:r>
      <w:r w:rsidRPr="00A630D7">
        <w:t xml:space="preserve"> </w:t>
      </w:r>
      <w:proofErr w:type="spellStart"/>
      <w:r w:rsidRPr="00A630D7">
        <w:t>taxane</w:t>
      </w:r>
      <w:proofErr w:type="spellEnd"/>
      <w:r w:rsidRPr="00A630D7">
        <w:t xml:space="preserve"> therapy, there is no clear superior agent among the conventional chemotherapies </w:t>
      </w:r>
      <w:proofErr w:type="spellStart"/>
      <w:r w:rsidRPr="00A630D7">
        <w:t>capecitabine</w:t>
      </w:r>
      <w:proofErr w:type="spellEnd"/>
      <w:r w:rsidRPr="00A630D7">
        <w:t xml:space="preserve">, </w:t>
      </w:r>
      <w:proofErr w:type="spellStart"/>
      <w:r w:rsidRPr="00A630D7">
        <w:t>vinorelbine</w:t>
      </w:r>
      <w:proofErr w:type="spellEnd"/>
      <w:r w:rsidRPr="00A630D7">
        <w:t xml:space="preserve"> and </w:t>
      </w:r>
      <w:proofErr w:type="spellStart"/>
      <w:r w:rsidRPr="00A630D7">
        <w:t>eribulin</w:t>
      </w:r>
      <w:proofErr w:type="spellEnd"/>
      <w:r w:rsidRPr="00A630D7">
        <w:t>.</w:t>
      </w:r>
      <w:r w:rsidRPr="00A630D7">
        <w:rPr>
          <w:rStyle w:val="FootnoteReference"/>
        </w:rPr>
        <w:footnoteReference w:id="36"/>
      </w:r>
    </w:p>
    <w:p w14:paraId="636CB6CF" w14:textId="77777777" w:rsidR="00A83EC6" w:rsidRPr="00154B00" w:rsidRDefault="005F033A" w:rsidP="00530204">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CAE16BD" w14:textId="77777777" w:rsidR="001B29A1" w:rsidRDefault="00B2319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1B29A1">
        <w:rPr>
          <w:szCs w:val="20"/>
        </w:rPr>
        <w:t xml:space="preserve"> Yes </w:t>
      </w:r>
    </w:p>
    <w:p w14:paraId="1DAB2DF3" w14:textId="04FA86B3"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F14C5">
        <w:rPr>
          <w:szCs w:val="20"/>
        </w:rPr>
      </w:r>
      <w:r w:rsidR="001F14C5">
        <w:rPr>
          <w:szCs w:val="20"/>
        </w:rPr>
        <w:fldChar w:fldCharType="separate"/>
      </w:r>
      <w:r w:rsidRPr="00753C44">
        <w:rPr>
          <w:szCs w:val="20"/>
        </w:rPr>
        <w:fldChar w:fldCharType="end"/>
      </w:r>
      <w:r>
        <w:rPr>
          <w:szCs w:val="20"/>
        </w:rPr>
        <w:t xml:space="preserve"> No</w:t>
      </w:r>
    </w:p>
    <w:p w14:paraId="4B0E7C39" w14:textId="77777777" w:rsidR="008B3D48" w:rsidRDefault="008B3D48" w:rsidP="001B29A1">
      <w:pPr>
        <w:spacing w:before="0" w:after="0"/>
        <w:ind w:left="426"/>
        <w:rPr>
          <w:szCs w:val="20"/>
        </w:rPr>
      </w:pPr>
    </w:p>
    <w:p w14:paraId="05C07259" w14:textId="77777777" w:rsidR="00A95163" w:rsidRDefault="00A95163" w:rsidP="001B29A1">
      <w:pPr>
        <w:spacing w:before="0" w:after="0"/>
        <w:ind w:left="426"/>
        <w:rPr>
          <w:szCs w:val="20"/>
        </w:rPr>
      </w:pPr>
      <w:r w:rsidRPr="008B3D48">
        <w:rPr>
          <w:szCs w:val="20"/>
        </w:rPr>
        <w:t xml:space="preserve">The proposed medical service </w:t>
      </w:r>
      <w:r w:rsidR="00BA6329" w:rsidRPr="008B3D48">
        <w:rPr>
          <w:szCs w:val="20"/>
        </w:rPr>
        <w:t>(</w:t>
      </w:r>
      <w:proofErr w:type="spellStart"/>
      <w:r w:rsidR="000E2676">
        <w:rPr>
          <w:szCs w:val="20"/>
        </w:rPr>
        <w:t>ie</w:t>
      </w:r>
      <w:proofErr w:type="spellEnd"/>
      <w:r w:rsidR="000E2676">
        <w:rPr>
          <w:szCs w:val="20"/>
        </w:rPr>
        <w:t xml:space="preserve"> </w:t>
      </w:r>
      <w:r w:rsidR="00BA6329" w:rsidRPr="008B3D48">
        <w:rPr>
          <w:szCs w:val="20"/>
        </w:rPr>
        <w:t>g</w:t>
      </w:r>
      <w:r w:rsidR="000E2676">
        <w:rPr>
          <w:szCs w:val="20"/>
        </w:rPr>
        <w:t xml:space="preserve">ermline </w:t>
      </w:r>
      <w:r w:rsidR="00BA6329" w:rsidRPr="00C45B05">
        <w:rPr>
          <w:i/>
          <w:szCs w:val="20"/>
        </w:rPr>
        <w:t>BRCA</w:t>
      </w:r>
      <w:r w:rsidR="000E2676">
        <w:rPr>
          <w:szCs w:val="20"/>
        </w:rPr>
        <w:t xml:space="preserve"> </w:t>
      </w:r>
      <w:r w:rsidR="00BA6329" w:rsidRPr="008B3D48">
        <w:rPr>
          <w:szCs w:val="20"/>
        </w:rPr>
        <w:t>m</w:t>
      </w:r>
      <w:r w:rsidR="000E2676">
        <w:rPr>
          <w:szCs w:val="20"/>
        </w:rPr>
        <w:t>utation</w:t>
      </w:r>
      <w:r w:rsidR="00BA6329" w:rsidRPr="008B3D48">
        <w:rPr>
          <w:szCs w:val="20"/>
        </w:rPr>
        <w:t xml:space="preserve"> testing) will be used instead of the comparator (no g</w:t>
      </w:r>
      <w:r w:rsidR="000E2676">
        <w:rPr>
          <w:szCs w:val="20"/>
        </w:rPr>
        <w:t xml:space="preserve">ermline </w:t>
      </w:r>
      <w:r w:rsidR="00BA6329" w:rsidRPr="008B3D48">
        <w:rPr>
          <w:szCs w:val="20"/>
        </w:rPr>
        <w:t>BRCA</w:t>
      </w:r>
      <w:r w:rsidR="000E2676">
        <w:rPr>
          <w:szCs w:val="20"/>
        </w:rPr>
        <w:t xml:space="preserve"> </w:t>
      </w:r>
      <w:r w:rsidR="00BA6329" w:rsidRPr="008B3D48">
        <w:rPr>
          <w:szCs w:val="20"/>
        </w:rPr>
        <w:t>m</w:t>
      </w:r>
      <w:r w:rsidR="000E2676">
        <w:rPr>
          <w:szCs w:val="20"/>
        </w:rPr>
        <w:t>utation</w:t>
      </w:r>
      <w:r w:rsidR="00BA6329" w:rsidRPr="008B3D48">
        <w:rPr>
          <w:szCs w:val="20"/>
        </w:rPr>
        <w:t xml:space="preserve"> testing). </w:t>
      </w:r>
    </w:p>
    <w:p w14:paraId="42EF796D" w14:textId="77777777" w:rsidR="00E70D86" w:rsidRPr="00154B00" w:rsidRDefault="00E70D86" w:rsidP="007F3FCD">
      <w:pPr>
        <w:pStyle w:val="Heading2"/>
        <w:numPr>
          <w:ilvl w:val="0"/>
          <w:numId w:val="9"/>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7812342B" w14:textId="2C70ACE1" w:rsidR="00B23193" w:rsidRDefault="00BA6329" w:rsidP="005F033A">
      <w:pPr>
        <w:ind w:left="360"/>
        <w:jc w:val="both"/>
      </w:pPr>
      <w:r>
        <w:t>The comparator (n</w:t>
      </w:r>
      <w:r w:rsidR="00B23193">
        <w:t>o g</w:t>
      </w:r>
      <w:r w:rsidR="000E2676">
        <w:t xml:space="preserve">ermline </w:t>
      </w:r>
      <w:r w:rsidR="00B23193" w:rsidRPr="00C45B05">
        <w:rPr>
          <w:i/>
        </w:rPr>
        <w:t>BRCA</w:t>
      </w:r>
      <w:r w:rsidR="000E2676">
        <w:t xml:space="preserve"> </w:t>
      </w:r>
      <w:r w:rsidR="00B23193">
        <w:t>m</w:t>
      </w:r>
      <w:r w:rsidR="000E2676">
        <w:t>utation</w:t>
      </w:r>
      <w:r w:rsidR="00B23193">
        <w:t xml:space="preserve"> test</w:t>
      </w:r>
      <w:r>
        <w:t>)</w:t>
      </w:r>
      <w:r w:rsidR="00B23193">
        <w:t xml:space="preserve"> </w:t>
      </w:r>
      <w:r w:rsidR="001A719B">
        <w:t>will</w:t>
      </w:r>
      <w:r w:rsidR="00B23193">
        <w:t xml:space="preserve"> be substituted with a g</w:t>
      </w:r>
      <w:r w:rsidR="000E2676">
        <w:t xml:space="preserve">ermline </w:t>
      </w:r>
      <w:r w:rsidR="00B23193" w:rsidRPr="00AA4899">
        <w:rPr>
          <w:i/>
        </w:rPr>
        <w:t>BRCA</w:t>
      </w:r>
      <w:r w:rsidR="000E2676">
        <w:t xml:space="preserve"> </w:t>
      </w:r>
      <w:r w:rsidR="00B23193">
        <w:t>m</w:t>
      </w:r>
      <w:r w:rsidR="000E2676">
        <w:t>utation</w:t>
      </w:r>
      <w:r w:rsidR="00B23193">
        <w:t xml:space="preserve"> test</w:t>
      </w:r>
      <w:r w:rsidR="001A719B">
        <w:t xml:space="preserve"> to determine patient eligibility to treatment with </w:t>
      </w:r>
      <w:proofErr w:type="spellStart"/>
      <w:r w:rsidR="001A719B">
        <w:t>olaparib</w:t>
      </w:r>
      <w:proofErr w:type="spellEnd"/>
      <w:r w:rsidR="001A719B">
        <w:t>.</w:t>
      </w:r>
      <w:r>
        <w:t xml:space="preserve"> </w:t>
      </w:r>
      <w:r w:rsidR="008B3D48">
        <w:t>The availability of a new treatment opt</w:t>
      </w:r>
      <w:r w:rsidR="005200C3">
        <w:t xml:space="preserve">ion will increase uptake of </w:t>
      </w:r>
      <w:r w:rsidR="000E2676">
        <w:t xml:space="preserve">germline </w:t>
      </w:r>
      <w:r w:rsidR="008B3D48" w:rsidRPr="00AA4899">
        <w:rPr>
          <w:i/>
        </w:rPr>
        <w:t>BRCA</w:t>
      </w:r>
      <w:r w:rsidR="000E2676">
        <w:t xml:space="preserve"> mutation testing. </w:t>
      </w:r>
      <w:r w:rsidR="005200C3">
        <w:t xml:space="preserve"> </w:t>
      </w:r>
      <w:r w:rsidR="00DE56A0">
        <w:t>A p</w:t>
      </w:r>
      <w:r w:rsidR="008B3D48">
        <w:t>atient</w:t>
      </w:r>
      <w:r w:rsidR="00DE56A0">
        <w:t xml:space="preserve"> </w:t>
      </w:r>
      <w:r w:rsidR="008B3D48">
        <w:t xml:space="preserve">can only access </w:t>
      </w:r>
      <w:proofErr w:type="spellStart"/>
      <w:r w:rsidR="008B3D48">
        <w:t>olaparib</w:t>
      </w:r>
      <w:proofErr w:type="spellEnd"/>
      <w:r w:rsidR="008B3D48">
        <w:t xml:space="preserve"> based on a </w:t>
      </w:r>
      <w:r w:rsidR="000E2676">
        <w:t xml:space="preserve">positive </w:t>
      </w:r>
      <w:proofErr w:type="spellStart"/>
      <w:r w:rsidR="000E2676" w:rsidRPr="00AA4899">
        <w:rPr>
          <w:i/>
        </w:rPr>
        <w:t>BRCA</w:t>
      </w:r>
      <w:r w:rsidR="0002013F">
        <w:t>m</w:t>
      </w:r>
      <w:proofErr w:type="spellEnd"/>
      <w:r w:rsidR="000E2676">
        <w:t xml:space="preserve"> status</w:t>
      </w:r>
      <w:r w:rsidR="008B3D48">
        <w:t xml:space="preserve">. </w:t>
      </w:r>
      <w:r w:rsidR="005200C3" w:rsidRPr="00DE56A0">
        <w:t>U</w:t>
      </w:r>
      <w:r w:rsidRPr="00DE56A0">
        <w:t xml:space="preserve">p to 100% substitution of </w:t>
      </w:r>
      <w:r w:rsidR="005F033A">
        <w:t>‘</w:t>
      </w:r>
      <w:r w:rsidRPr="00DE56A0">
        <w:t>no testing</w:t>
      </w:r>
      <w:r w:rsidR="005F033A">
        <w:t>’ with</w:t>
      </w:r>
      <w:r w:rsidR="005200C3" w:rsidRPr="00DE56A0">
        <w:t xml:space="preserve"> </w:t>
      </w:r>
      <w:r w:rsidRPr="00DE56A0">
        <w:t>BRCA</w:t>
      </w:r>
      <w:r w:rsidR="005200C3" w:rsidRPr="00DE56A0">
        <w:t xml:space="preserve"> </w:t>
      </w:r>
      <w:r w:rsidRPr="00DE56A0">
        <w:t>m</w:t>
      </w:r>
      <w:r w:rsidR="005200C3" w:rsidRPr="00DE56A0">
        <w:t>utation</w:t>
      </w:r>
      <w:r w:rsidRPr="00DE56A0">
        <w:t xml:space="preserve"> testing</w:t>
      </w:r>
      <w:r w:rsidR="00675648" w:rsidRPr="00DE56A0">
        <w:t xml:space="preserve"> </w:t>
      </w:r>
      <w:r w:rsidR="005200C3" w:rsidRPr="00DE56A0">
        <w:t>could be</w:t>
      </w:r>
      <w:r w:rsidR="00675648" w:rsidRPr="00DE56A0">
        <w:t xml:space="preserve"> assumed. However, not all patients </w:t>
      </w:r>
      <w:r w:rsidR="00C45B05">
        <w:t>may take up testing. R</w:t>
      </w:r>
      <w:r w:rsidR="005200C3" w:rsidRPr="00DE56A0">
        <w:t xml:space="preserve">easons </w:t>
      </w:r>
      <w:r w:rsidR="00C45B05">
        <w:t>for patients not taking</w:t>
      </w:r>
      <w:r w:rsidR="005200C3" w:rsidRPr="00DE56A0">
        <w:t xml:space="preserve"> up </w:t>
      </w:r>
      <w:r w:rsidR="005F033A">
        <w:t>the test</w:t>
      </w:r>
      <w:r w:rsidR="005200C3" w:rsidRPr="00DE56A0">
        <w:t xml:space="preserve"> could be cu</w:t>
      </w:r>
      <w:r w:rsidR="00DE56A0" w:rsidRPr="00DE56A0">
        <w:t>ltural</w:t>
      </w:r>
      <w:r w:rsidR="0002013F">
        <w:t xml:space="preserve"> </w:t>
      </w:r>
      <w:r w:rsidR="00AA4899">
        <w:lastRenderedPageBreak/>
        <w:t>or religious</w:t>
      </w:r>
      <w:r w:rsidR="004F6464">
        <w:rPr>
          <w:rStyle w:val="FootnoteReference"/>
        </w:rPr>
        <w:footnoteReference w:id="37"/>
      </w:r>
      <w:r w:rsidR="00AA4899">
        <w:t xml:space="preserve"> beliefs</w:t>
      </w:r>
      <w:r w:rsidR="00DE56A0" w:rsidRPr="00DE56A0">
        <w:t>. Current uptake of germline BRCA mutation testing in patients with ovari</w:t>
      </w:r>
      <w:r w:rsidR="00110F93">
        <w:t>an cancer is approximately 70%</w:t>
      </w:r>
      <w:r w:rsidR="00DE56A0" w:rsidRPr="00DE56A0">
        <w:t>.</w:t>
      </w:r>
    </w:p>
    <w:p w14:paraId="564CB5D9" w14:textId="77777777" w:rsidR="0054594B" w:rsidRPr="00830001" w:rsidRDefault="009C03FB" w:rsidP="00530204">
      <w:pPr>
        <w:pStyle w:val="Heading2"/>
      </w:pPr>
      <w:r w:rsidRPr="00830001">
        <w:t>Define and summarise how</w:t>
      </w:r>
      <w:r w:rsidR="00F33F1A" w:rsidRPr="00830001">
        <w:t xml:space="preserve"> curr</w:t>
      </w:r>
      <w:r w:rsidRPr="00830001">
        <w:t>ent clinical management pathways (from the point of service delivery onwards) are</w:t>
      </w:r>
      <w:r w:rsidR="00F33F1A" w:rsidRPr="00830001">
        <w:t xml:space="preserve"> expected to change as a consequence of introducing the proposed medical service </w:t>
      </w:r>
      <w:r w:rsidR="007D2358" w:rsidRPr="00830001">
        <w:t xml:space="preserve">including variation in health care resources </w:t>
      </w:r>
      <w:r w:rsidRPr="00830001">
        <w:t>(</w:t>
      </w:r>
      <w:r w:rsidR="002053F2" w:rsidRPr="00830001">
        <w:t xml:space="preserve">Refer to </w:t>
      </w:r>
      <w:r w:rsidR="00F33F1A" w:rsidRPr="00830001">
        <w:t xml:space="preserve">Question </w:t>
      </w:r>
      <w:r w:rsidR="00197D29" w:rsidRPr="00830001">
        <w:t>39</w:t>
      </w:r>
      <w:r w:rsidR="00F33F1A" w:rsidRPr="00830001">
        <w:t xml:space="preserve"> as baseline)</w:t>
      </w:r>
      <w:r w:rsidR="00AE1188" w:rsidRPr="00830001">
        <w:t>:</w:t>
      </w:r>
    </w:p>
    <w:p w14:paraId="57E93C71" w14:textId="77777777" w:rsidR="000E2676" w:rsidRDefault="000E2676" w:rsidP="00D10B47">
      <w:pPr>
        <w:pStyle w:val="ListParagraph"/>
        <w:ind w:left="360"/>
      </w:pPr>
    </w:p>
    <w:p w14:paraId="29C0A97F" w14:textId="5D73A007" w:rsidR="007F7B83" w:rsidRDefault="007C592D" w:rsidP="00851D0D">
      <w:pPr>
        <w:pStyle w:val="ListParagraph"/>
        <w:ind w:left="360"/>
        <w:jc w:val="both"/>
      </w:pPr>
      <w:r>
        <w:t>Of the p</w:t>
      </w:r>
      <w:r w:rsidR="00851D0D">
        <w:t xml:space="preserve">atients taking up germline </w:t>
      </w:r>
      <w:r w:rsidR="00851D0D" w:rsidRPr="00851D0D">
        <w:rPr>
          <w:i/>
        </w:rPr>
        <w:t>BRCA1/2</w:t>
      </w:r>
      <w:r w:rsidR="00851D0D">
        <w:t xml:space="preserve"> </w:t>
      </w:r>
      <w:r>
        <w:t xml:space="preserve">mutation </w:t>
      </w:r>
      <w:r w:rsidR="00851D0D">
        <w:t xml:space="preserve">testing, approximately 15% </w:t>
      </w:r>
      <w:r w:rsidR="00851D0D">
        <w:rPr>
          <w:rStyle w:val="FootnoteReference"/>
        </w:rPr>
        <w:footnoteReference w:id="38"/>
      </w:r>
      <w:r w:rsidR="00851D0D">
        <w:t xml:space="preserve"> will test positive for a </w:t>
      </w:r>
      <w:r w:rsidR="00851D0D" w:rsidRPr="00851D0D">
        <w:rPr>
          <w:i/>
        </w:rPr>
        <w:t xml:space="preserve">BRCA1/2 </w:t>
      </w:r>
      <w:r w:rsidR="00851D0D">
        <w:t xml:space="preserve">mutation. Therefore, these patients will be eligible for treatment with </w:t>
      </w:r>
      <w:proofErr w:type="spellStart"/>
      <w:r w:rsidR="00851D0D">
        <w:t>Olaparib</w:t>
      </w:r>
      <w:proofErr w:type="spellEnd"/>
      <w:r w:rsidR="00851D0D">
        <w:t>. The remaining 75% of patients will be treated with the current of standard of care.</w:t>
      </w:r>
    </w:p>
    <w:p w14:paraId="239544E3" w14:textId="77777777" w:rsidR="00851D0D" w:rsidRDefault="00851D0D" w:rsidP="00851D0D">
      <w:pPr>
        <w:pStyle w:val="ListParagraph"/>
        <w:ind w:left="360"/>
        <w:jc w:val="both"/>
      </w:pPr>
    </w:p>
    <w:p w14:paraId="788D9562" w14:textId="5368DCB1" w:rsidR="00F002E0" w:rsidRDefault="00636BE5" w:rsidP="00C45B05">
      <w:pPr>
        <w:pStyle w:val="ListParagraph"/>
        <w:ind w:left="360"/>
        <w:jc w:val="both"/>
      </w:pPr>
      <w:proofErr w:type="spellStart"/>
      <w:r>
        <w:t>Olaparib</w:t>
      </w:r>
      <w:proofErr w:type="spellEnd"/>
      <w:r>
        <w:t xml:space="preserve"> (</w:t>
      </w:r>
      <w:proofErr w:type="spellStart"/>
      <w:r>
        <w:t>Lynparza</w:t>
      </w:r>
      <w:proofErr w:type="spellEnd"/>
      <w:r w:rsidRPr="00B2636F">
        <w:rPr>
          <w:rFonts w:cs="Arial"/>
          <w:vertAlign w:val="superscript"/>
        </w:rPr>
        <w:t>®</w:t>
      </w:r>
      <w:r>
        <w:t>) will be the first poly ADP-ribose polymerase (</w:t>
      </w:r>
      <w:r w:rsidRPr="00112C24">
        <w:t>PARP</w:t>
      </w:r>
      <w:r>
        <w:t>) inhibitor to be available</w:t>
      </w:r>
      <w:r w:rsidR="001E6A5F">
        <w:t xml:space="preserve"> as a treatment option for HER2 negative</w:t>
      </w:r>
      <w:r>
        <w:t xml:space="preserve">  metastatic breast cancer patients with a germline </w:t>
      </w:r>
      <w:r w:rsidRPr="00032BB7">
        <w:rPr>
          <w:i/>
        </w:rPr>
        <w:t>BRCA</w:t>
      </w:r>
      <w:r>
        <w:rPr>
          <w:i/>
        </w:rPr>
        <w:t xml:space="preserve"> </w:t>
      </w:r>
      <w:r>
        <w:t xml:space="preserve">mutation after </w:t>
      </w:r>
      <w:r w:rsidR="007F7B83">
        <w:t xml:space="preserve">treatment </w:t>
      </w:r>
      <w:r>
        <w:t xml:space="preserve">with anthracyclines or </w:t>
      </w:r>
      <w:proofErr w:type="spellStart"/>
      <w:r>
        <w:t>taxanes</w:t>
      </w:r>
      <w:proofErr w:type="spellEnd"/>
      <w:r>
        <w:t xml:space="preserve"> (suitable as a single chemotherapy agent when hormonal therapy is considered inappropriate</w:t>
      </w:r>
      <w:r w:rsidR="00E86FE1">
        <w:t>)</w:t>
      </w:r>
      <w:r>
        <w:t xml:space="preserve">. </w:t>
      </w:r>
    </w:p>
    <w:p w14:paraId="24FE51E2" w14:textId="13B3347A" w:rsidR="00F002E0" w:rsidRPr="00F002E0" w:rsidRDefault="00F002E0" w:rsidP="00F002E0">
      <w:pPr>
        <w:ind w:left="360"/>
        <w:jc w:val="both"/>
        <w:rPr>
          <w:szCs w:val="24"/>
        </w:rPr>
      </w:pPr>
      <w:proofErr w:type="spellStart"/>
      <w:r w:rsidRPr="00F002E0">
        <w:rPr>
          <w:szCs w:val="24"/>
        </w:rPr>
        <w:t>Olaparib</w:t>
      </w:r>
      <w:proofErr w:type="spellEnd"/>
      <w:r w:rsidRPr="00F002E0">
        <w:rPr>
          <w:szCs w:val="24"/>
        </w:rPr>
        <w:t xml:space="preserve"> is an oral, potent inhibitor of PARP-1, PARP-2 and PARP-3.</w:t>
      </w:r>
      <w:r w:rsidRPr="00F002E0">
        <w:rPr>
          <w:rStyle w:val="FootnoteReference"/>
          <w:szCs w:val="24"/>
        </w:rPr>
        <w:footnoteReference w:id="39"/>
      </w:r>
      <w:r w:rsidRPr="00F002E0">
        <w:rPr>
          <w:szCs w:val="24"/>
        </w:rPr>
        <w:t xml:space="preserve"> These PARP enzymes are required for the efficient repair of DNA single-strand breaks. During this repair process, PARP auto-modifies itself and dissociates from the DNA to facilitate access for other repair enzymes. </w:t>
      </w:r>
      <w:proofErr w:type="spellStart"/>
      <w:r w:rsidRPr="00F002E0">
        <w:rPr>
          <w:szCs w:val="24"/>
        </w:rPr>
        <w:t>Olaparib</w:t>
      </w:r>
      <w:proofErr w:type="spellEnd"/>
      <w:r w:rsidRPr="00F002E0">
        <w:rPr>
          <w:szCs w:val="24"/>
        </w:rPr>
        <w:t xml:space="preserve"> inhibits the action of PARP-1 and PARP-2 by preventing their dissociation, trapping PARP on the DNA and blocking repair of the single-strand break. In replicating cells, this then leads to double-strand DNA breaks. In normal cells, DNA double-strand breaks are repaired by homologous recombination repair, which requires functional BRCA1 and BRCA2 proteins. In </w:t>
      </w:r>
      <w:r w:rsidRPr="00F002E0">
        <w:rPr>
          <w:i/>
          <w:iCs/>
          <w:szCs w:val="24"/>
        </w:rPr>
        <w:t>BRCA1</w:t>
      </w:r>
      <w:r w:rsidRPr="00F002E0">
        <w:rPr>
          <w:szCs w:val="24"/>
        </w:rPr>
        <w:t xml:space="preserve">or </w:t>
      </w:r>
      <w:r w:rsidRPr="00F002E0">
        <w:rPr>
          <w:i/>
          <w:iCs/>
          <w:szCs w:val="24"/>
        </w:rPr>
        <w:t>2-</w:t>
      </w:r>
      <w:r w:rsidRPr="00F002E0">
        <w:rPr>
          <w:szCs w:val="24"/>
        </w:rPr>
        <w:t xml:space="preserve">mutated tumour cells, whereby both copies of the </w:t>
      </w:r>
      <w:r w:rsidRPr="00F002E0">
        <w:rPr>
          <w:i/>
          <w:iCs/>
          <w:szCs w:val="24"/>
        </w:rPr>
        <w:t>BRCA</w:t>
      </w:r>
      <w:r w:rsidRPr="00F002E0">
        <w:rPr>
          <w:szCs w:val="24"/>
        </w:rPr>
        <w:t xml:space="preserve"> gene have lost function, the non-functional BRCA proteins mean that DNA double-strand breaks cannot be repaired by homologous recombination repair and, instead, alternative and error</w:t>
      </w:r>
      <w:r w:rsidRPr="00F002E0">
        <w:rPr>
          <w:szCs w:val="24"/>
        </w:rPr>
        <w:noBreakHyphen/>
        <w:t>prone pathways such as the non-homologous end-joining pathway must be used by the cell. This results in increased genomic instability that, after a number of rounds of cell-cycle replication, can reach insupportable levels and result in cancer cell death.</w:t>
      </w:r>
    </w:p>
    <w:p w14:paraId="0E286BD1" w14:textId="6A38EE11" w:rsidR="00636BE5" w:rsidRDefault="00636BE5" w:rsidP="00F002E0">
      <w:pPr>
        <w:pStyle w:val="ListParagraph"/>
        <w:ind w:left="360"/>
        <w:jc w:val="both"/>
      </w:pPr>
      <w:proofErr w:type="spellStart"/>
      <w:r>
        <w:t>Olaparib</w:t>
      </w:r>
      <w:proofErr w:type="spellEnd"/>
      <w:r>
        <w:t xml:space="preserve"> will therefore </w:t>
      </w:r>
      <w:r w:rsidR="007F7B83">
        <w:t xml:space="preserve">be a </w:t>
      </w:r>
      <w:r w:rsidR="00E86FE1">
        <w:t>substitut</w:t>
      </w:r>
      <w:r w:rsidR="007F7B83">
        <w:t>e</w:t>
      </w:r>
      <w:r>
        <w:t xml:space="preserve"> for the current </w:t>
      </w:r>
      <w:r w:rsidR="000312A7">
        <w:t xml:space="preserve">reimbursed </w:t>
      </w:r>
      <w:r>
        <w:t>standard of care</w:t>
      </w:r>
      <w:r w:rsidR="00E86FE1">
        <w:t xml:space="preserve"> single</w:t>
      </w:r>
      <w:r>
        <w:t xml:space="preserve"> chemotherapy agents (</w:t>
      </w:r>
      <w:proofErr w:type="spellStart"/>
      <w:r w:rsidR="00E86FE1" w:rsidRPr="00954EFA">
        <w:t>capecitabine</w:t>
      </w:r>
      <w:proofErr w:type="spellEnd"/>
      <w:r w:rsidR="00E86FE1" w:rsidRPr="00954EFA">
        <w:t xml:space="preserve">, </w:t>
      </w:r>
      <w:proofErr w:type="spellStart"/>
      <w:r w:rsidR="00E86FE1" w:rsidRPr="00954EFA">
        <w:t>vinorelbine</w:t>
      </w:r>
      <w:proofErr w:type="spellEnd"/>
      <w:r w:rsidR="00E86FE1" w:rsidRPr="00954EFA">
        <w:t xml:space="preserve"> or </w:t>
      </w:r>
      <w:proofErr w:type="spellStart"/>
      <w:r w:rsidR="00E86FE1" w:rsidRPr="00954EFA">
        <w:t>eribulin</w:t>
      </w:r>
      <w:proofErr w:type="spellEnd"/>
      <w:r w:rsidR="00E86FE1">
        <w:t>).</w:t>
      </w:r>
      <w:r w:rsidR="00F002E0">
        <w:t xml:space="preserve">  </w:t>
      </w:r>
      <w:proofErr w:type="spellStart"/>
      <w:r w:rsidR="00C4221B">
        <w:t>Olaparib</w:t>
      </w:r>
      <w:proofErr w:type="spellEnd"/>
      <w:r w:rsidR="00C4221B">
        <w:t xml:space="preserve"> offers patients </w:t>
      </w:r>
      <w:r w:rsidR="008803A3">
        <w:t>and medical specialist a targeted treatment for biomarker define</w:t>
      </w:r>
      <w:r w:rsidR="00AA4899">
        <w:t>d metastatic breast cancer HER2 negative</w:t>
      </w:r>
      <w:r w:rsidR="008803A3">
        <w:t xml:space="preserve"> patients with a clinically meaningful efficacy, more favourable safety, toxicity and Health related quality of life profile and ease of administration compared to chemotherapy regimens. </w:t>
      </w:r>
    </w:p>
    <w:p w14:paraId="3FBCF350" w14:textId="77777777" w:rsidR="00E66B09" w:rsidRDefault="00E66B09" w:rsidP="00C45B05">
      <w:pPr>
        <w:pStyle w:val="ListParagraph"/>
        <w:ind w:left="360"/>
        <w:jc w:val="both"/>
      </w:pPr>
    </w:p>
    <w:p w14:paraId="491598CB" w14:textId="6DD3F45F" w:rsidR="00CC63F8" w:rsidRDefault="00C45B05" w:rsidP="005E3EE1">
      <w:pPr>
        <w:pStyle w:val="ListParagraph"/>
        <w:ind w:left="360"/>
        <w:jc w:val="both"/>
      </w:pPr>
      <w:r>
        <w:t xml:space="preserve">The pivotal clinical study, </w:t>
      </w:r>
      <w:proofErr w:type="spellStart"/>
      <w:r w:rsidR="00AA4899">
        <w:t>OlympiAD</w:t>
      </w:r>
      <w:proofErr w:type="spellEnd"/>
      <w:r w:rsidR="00AA4899">
        <w:t xml:space="preserve"> </w:t>
      </w:r>
      <w:r w:rsidR="00CC63F8">
        <w:t xml:space="preserve">is a randomised, open-label, phase 3 trial in which </w:t>
      </w:r>
      <w:proofErr w:type="spellStart"/>
      <w:r w:rsidR="00CC63F8">
        <w:t>olaparib</w:t>
      </w:r>
      <w:proofErr w:type="spellEnd"/>
      <w:r w:rsidR="00CC63F8">
        <w:t xml:space="preserve"> monotherapy was compared with </w:t>
      </w:r>
      <w:r w:rsidR="00B61DF2">
        <w:t>‘</w:t>
      </w:r>
      <w:r w:rsidR="00CC63F8">
        <w:t>standard therapy</w:t>
      </w:r>
      <w:r w:rsidR="00B61DF2">
        <w:t>’</w:t>
      </w:r>
      <w:r w:rsidR="00CC63F8">
        <w:t xml:space="preserve"> in patients with a </w:t>
      </w:r>
      <w:proofErr w:type="spellStart"/>
      <w:r w:rsidR="00CC63F8">
        <w:t>g</w:t>
      </w:r>
      <w:r w:rsidR="00CC63F8" w:rsidRPr="00B042E5">
        <w:rPr>
          <w:i/>
        </w:rPr>
        <w:t>BRCA</w:t>
      </w:r>
      <w:proofErr w:type="spellEnd"/>
      <w:r w:rsidR="00CC63F8">
        <w:t xml:space="preserve"> mutation and HER2 negative (either hormone receptor positive or triple negative) breast cancer.  Patients must also have received no more than two previous chemotherapy regimens for metastatic breast cancer</w:t>
      </w:r>
      <w:r w:rsidR="00B61DF2">
        <w:t xml:space="preserve"> and had received neoadjuvant or adjuvant treatment or treatment for metastatic disease with an anthracycline and a </w:t>
      </w:r>
      <w:proofErr w:type="spellStart"/>
      <w:r w:rsidR="00B61DF2">
        <w:t>taxane</w:t>
      </w:r>
      <w:proofErr w:type="spellEnd"/>
      <w:r w:rsidR="00B61DF2">
        <w:t>.</w:t>
      </w:r>
    </w:p>
    <w:p w14:paraId="06E36587" w14:textId="77777777" w:rsidR="00B61DF2" w:rsidRDefault="00B61DF2" w:rsidP="005E3EE1">
      <w:pPr>
        <w:pStyle w:val="ListParagraph"/>
        <w:ind w:left="360"/>
        <w:jc w:val="both"/>
      </w:pPr>
    </w:p>
    <w:p w14:paraId="4ECF1B5A" w14:textId="7F666DB7" w:rsidR="00C4221B" w:rsidRPr="00957BE7" w:rsidRDefault="00B61DF2" w:rsidP="005E3EE1">
      <w:pPr>
        <w:pStyle w:val="ListParagraph"/>
        <w:ind w:left="360"/>
        <w:jc w:val="both"/>
        <w:rPr>
          <w:bCs/>
          <w:lang w:val="en-US"/>
        </w:rPr>
      </w:pPr>
      <w:r>
        <w:t xml:space="preserve">Of the 302 patients randomised, 205 were assigned treatment with either </w:t>
      </w:r>
      <w:proofErr w:type="spellStart"/>
      <w:r>
        <w:t>olaparib</w:t>
      </w:r>
      <w:proofErr w:type="spellEnd"/>
      <w:r>
        <w:t xml:space="preserve"> or ‘standard of care’. The results </w:t>
      </w:r>
      <w:r w:rsidR="008803A3">
        <w:t>demonstrated statistically and clinically significant increase in progression free survival</w:t>
      </w:r>
      <w:r w:rsidR="007F3551">
        <w:t xml:space="preserve"> (PFS) /death </w:t>
      </w:r>
      <w:r w:rsidR="008803A3">
        <w:t xml:space="preserve">of 7 months in patients on </w:t>
      </w:r>
      <w:proofErr w:type="spellStart"/>
      <w:r w:rsidR="008803A3">
        <w:t>olaparib</w:t>
      </w:r>
      <w:proofErr w:type="spellEnd"/>
      <w:r w:rsidR="008803A3">
        <w:t xml:space="preserve"> compared to 4.2 months in patients on ‘</w:t>
      </w:r>
      <w:r w:rsidR="007F3551">
        <w:t>standard of care’ (</w:t>
      </w:r>
      <w:proofErr w:type="spellStart"/>
      <w:r w:rsidR="007F3551" w:rsidRPr="00954EFA">
        <w:t>capecitabine</w:t>
      </w:r>
      <w:proofErr w:type="spellEnd"/>
      <w:r w:rsidR="007F3551" w:rsidRPr="00954EFA">
        <w:t xml:space="preserve">, </w:t>
      </w:r>
      <w:proofErr w:type="spellStart"/>
      <w:r w:rsidR="007F3551" w:rsidRPr="00954EFA">
        <w:t>vinorelbine</w:t>
      </w:r>
      <w:proofErr w:type="spellEnd"/>
      <w:r w:rsidR="007F3551" w:rsidRPr="00954EFA">
        <w:t xml:space="preserve"> or </w:t>
      </w:r>
      <w:proofErr w:type="spellStart"/>
      <w:r w:rsidR="007F3551" w:rsidRPr="00954EFA">
        <w:t>eribulin</w:t>
      </w:r>
      <w:proofErr w:type="spellEnd"/>
      <w:r w:rsidR="007F3551">
        <w:t>). Median PFS hazard ratio: 0.58, 95% confidence interval 0.43 to 0.80; p&lt;0.001.</w:t>
      </w:r>
      <w:r w:rsidR="00E121E8">
        <w:t xml:space="preserve"> </w:t>
      </w:r>
      <w:r w:rsidR="007453F8" w:rsidRPr="007453F8">
        <w:rPr>
          <w:bCs/>
          <w:lang w:val="en-US"/>
        </w:rPr>
        <w:t xml:space="preserve">The </w:t>
      </w:r>
      <w:r w:rsidR="00E121E8">
        <w:t>median time from randomis</w:t>
      </w:r>
      <w:r w:rsidR="007453F8">
        <w:t>a</w:t>
      </w:r>
      <w:r w:rsidR="00E121E8">
        <w:t xml:space="preserve">tion to a second progression event or death </w:t>
      </w:r>
      <w:r w:rsidR="007453F8">
        <w:t>(PFS2</w:t>
      </w:r>
      <w:r w:rsidR="00E121E8">
        <w:t>)</w:t>
      </w:r>
      <w:r w:rsidR="00E66B09">
        <w:t xml:space="preserve"> </w:t>
      </w:r>
      <w:r w:rsidR="00E121E8" w:rsidRPr="007453F8">
        <w:rPr>
          <w:bCs/>
          <w:lang w:val="en-US"/>
        </w:rPr>
        <w:t>was also significantly increased wi</w:t>
      </w:r>
      <w:r w:rsidR="007453F8" w:rsidRPr="007453F8">
        <w:rPr>
          <w:bCs/>
          <w:lang w:val="en-US"/>
        </w:rPr>
        <w:t xml:space="preserve">th </w:t>
      </w:r>
      <w:proofErr w:type="spellStart"/>
      <w:r w:rsidR="007453F8" w:rsidRPr="007453F8">
        <w:rPr>
          <w:bCs/>
          <w:lang w:val="en-US"/>
        </w:rPr>
        <w:t>olaparib</w:t>
      </w:r>
      <w:proofErr w:type="spellEnd"/>
      <w:r w:rsidR="007453F8" w:rsidRPr="007453F8">
        <w:rPr>
          <w:bCs/>
          <w:lang w:val="en-US"/>
        </w:rPr>
        <w:t xml:space="preserve"> treatment versus ‘standard of care’ </w:t>
      </w:r>
      <w:r w:rsidR="00E121E8" w:rsidRPr="007453F8">
        <w:rPr>
          <w:bCs/>
          <w:lang w:val="en-US"/>
        </w:rPr>
        <w:t>indicating benefit beyond first progression</w:t>
      </w:r>
      <w:r w:rsidR="007453F8" w:rsidRPr="007453F8">
        <w:rPr>
          <w:bCs/>
          <w:lang w:val="en-US"/>
        </w:rPr>
        <w:t xml:space="preserve"> (hazard ratio, 0.57; 95% confidence interval, 0.40 to 0.83; p=0.003). </w:t>
      </w:r>
      <w:r w:rsidR="00590112" w:rsidRPr="007453F8">
        <w:rPr>
          <w:bCs/>
          <w:lang w:val="en-GB"/>
        </w:rPr>
        <w:t xml:space="preserve">Patients treated with </w:t>
      </w:r>
      <w:proofErr w:type="spellStart"/>
      <w:r w:rsidR="00590112" w:rsidRPr="007453F8">
        <w:rPr>
          <w:bCs/>
          <w:lang w:val="en-GB"/>
        </w:rPr>
        <w:t>olaparib</w:t>
      </w:r>
      <w:proofErr w:type="spellEnd"/>
      <w:r w:rsidR="00590112" w:rsidRPr="007453F8">
        <w:rPr>
          <w:bCs/>
          <w:lang w:val="en-GB"/>
        </w:rPr>
        <w:t xml:space="preserve"> had a significantly better </w:t>
      </w:r>
      <w:proofErr w:type="spellStart"/>
      <w:r w:rsidR="00E66B09">
        <w:rPr>
          <w:bCs/>
          <w:lang w:val="en-GB"/>
        </w:rPr>
        <w:t>HRQoL</w:t>
      </w:r>
      <w:proofErr w:type="spellEnd"/>
      <w:r w:rsidR="00E66B09">
        <w:rPr>
          <w:bCs/>
          <w:lang w:val="en-GB"/>
        </w:rPr>
        <w:t xml:space="preserve"> compared with those on ‘standard of care’</w:t>
      </w:r>
      <w:r w:rsidR="00590112" w:rsidRPr="007453F8">
        <w:rPr>
          <w:bCs/>
          <w:lang w:val="en-GB"/>
        </w:rPr>
        <w:t>, a clinically meaningful benefit for patients</w:t>
      </w:r>
      <w:r w:rsidR="00E66B09">
        <w:rPr>
          <w:bCs/>
          <w:lang w:val="en-GB"/>
        </w:rPr>
        <w:t xml:space="preserve">.  </w:t>
      </w:r>
      <w:proofErr w:type="spellStart"/>
      <w:r w:rsidR="00E66B09" w:rsidRPr="00E66B09">
        <w:rPr>
          <w:bCs/>
          <w:lang w:val="en-US"/>
        </w:rPr>
        <w:t>Olaparib</w:t>
      </w:r>
      <w:proofErr w:type="spellEnd"/>
      <w:r w:rsidR="00E66B09" w:rsidRPr="00E66B09">
        <w:rPr>
          <w:bCs/>
          <w:lang w:val="en-US"/>
        </w:rPr>
        <w:t xml:space="preserve"> tablets were generally well </w:t>
      </w:r>
      <w:r w:rsidR="00E66B09">
        <w:rPr>
          <w:bCs/>
          <w:lang w:val="en-US"/>
        </w:rPr>
        <w:t xml:space="preserve">tolerated with the majority of </w:t>
      </w:r>
      <w:r w:rsidR="00E66B09">
        <w:rPr>
          <w:bCs/>
          <w:lang w:val="en-US"/>
        </w:rPr>
        <w:lastRenderedPageBreak/>
        <w:t>adverse events</w:t>
      </w:r>
      <w:r w:rsidR="00E66B09" w:rsidRPr="00E66B09">
        <w:rPr>
          <w:bCs/>
          <w:lang w:val="en-US"/>
        </w:rPr>
        <w:t xml:space="preserve"> being mild or moderate in severity and consistent with the safety profile seen in previous studies</w:t>
      </w:r>
      <w:r w:rsidR="00E66B09">
        <w:rPr>
          <w:bCs/>
          <w:vertAlign w:val="subscript"/>
          <w:lang w:val="en-US"/>
        </w:rPr>
        <w:t xml:space="preserve">. </w:t>
      </w:r>
      <w:r w:rsidR="00E66B09">
        <w:rPr>
          <w:rStyle w:val="FootnoteReference"/>
          <w:bCs/>
          <w:lang w:val="en-US"/>
        </w:rPr>
        <w:footnoteReference w:id="40"/>
      </w:r>
      <w:r w:rsidR="007D62E2">
        <w:rPr>
          <w:bCs/>
          <w:lang w:val="en-US"/>
        </w:rPr>
        <w:t xml:space="preserve"> </w:t>
      </w:r>
    </w:p>
    <w:p w14:paraId="7A593CFC" w14:textId="77777777" w:rsidR="005E3EE1" w:rsidRPr="005E3EE1" w:rsidRDefault="005E3EE1" w:rsidP="005E3EE1">
      <w:pPr>
        <w:pStyle w:val="ListParagraph"/>
        <w:ind w:left="360"/>
        <w:jc w:val="both"/>
        <w:rPr>
          <w:bCs/>
          <w:vertAlign w:val="subscript"/>
        </w:rPr>
      </w:pPr>
    </w:p>
    <w:p w14:paraId="4C8581F6" w14:textId="4762104E" w:rsidR="00334AE9" w:rsidRDefault="00E86FE1" w:rsidP="00527E47">
      <w:pPr>
        <w:pStyle w:val="ListParagraph"/>
        <w:ind w:left="360"/>
        <w:jc w:val="both"/>
      </w:pPr>
      <w:r>
        <w:t xml:space="preserve">As a consequence of </w:t>
      </w:r>
      <w:proofErr w:type="spellStart"/>
      <w:r w:rsidR="00E66F3D">
        <w:t>olaparib</w:t>
      </w:r>
      <w:proofErr w:type="spellEnd"/>
      <w:r w:rsidR="00E66F3D">
        <w:t xml:space="preserve"> being listed o</w:t>
      </w:r>
      <w:r w:rsidR="00C4221B">
        <w:t xml:space="preserve">n the PBS, </w:t>
      </w:r>
      <w:r>
        <w:t xml:space="preserve">germline </w:t>
      </w:r>
      <w:r w:rsidRPr="00B042E5">
        <w:rPr>
          <w:i/>
        </w:rPr>
        <w:t>BRCA</w:t>
      </w:r>
      <w:r>
        <w:t xml:space="preserve"> testing </w:t>
      </w:r>
      <w:r w:rsidR="00E66B09">
        <w:t>will</w:t>
      </w:r>
      <w:r w:rsidR="00C4221B">
        <w:t xml:space="preserve"> increase as access to </w:t>
      </w:r>
      <w:proofErr w:type="spellStart"/>
      <w:r w:rsidR="00E66F3D">
        <w:t>olaparib</w:t>
      </w:r>
      <w:proofErr w:type="spellEnd"/>
      <w:r w:rsidR="00E66F3D">
        <w:t xml:space="preserve"> </w:t>
      </w:r>
      <w:r w:rsidR="00C4221B">
        <w:t xml:space="preserve">treatment is </w:t>
      </w:r>
      <w:r w:rsidR="00E66F3D">
        <w:t>dependent on</w:t>
      </w:r>
      <w:r w:rsidR="00C4221B">
        <w:t xml:space="preserve"> a positive </w:t>
      </w:r>
      <w:r w:rsidR="00C4221B" w:rsidRPr="00E66F3D">
        <w:rPr>
          <w:i/>
        </w:rPr>
        <w:t>BRCA</w:t>
      </w:r>
      <w:r w:rsidR="00C4221B">
        <w:t xml:space="preserve"> status. </w:t>
      </w:r>
      <w:r w:rsidR="00334AE9">
        <w:t xml:space="preserve">That is, prior to prescribing </w:t>
      </w:r>
      <w:proofErr w:type="spellStart"/>
      <w:r w:rsidR="00334AE9">
        <w:t>olaparib</w:t>
      </w:r>
      <w:proofErr w:type="spellEnd"/>
      <w:r w:rsidR="00334AE9">
        <w:t xml:space="preserve"> as a treatment option for patients with advanced metastatic </w:t>
      </w:r>
      <w:r w:rsidR="00E97C4B">
        <w:t xml:space="preserve">HER2 negative </w:t>
      </w:r>
      <w:r w:rsidR="00334AE9">
        <w:t>breast cancer</w:t>
      </w:r>
      <w:r w:rsidR="00E97C4B">
        <w:t xml:space="preserve"> (either hormone receptor positive or triple negative)</w:t>
      </w:r>
      <w:r w:rsidR="00334AE9">
        <w:t>, patients will requir</w:t>
      </w:r>
      <w:r w:rsidR="001E6A5F">
        <w:t>e a germline BRCA mutation test and</w:t>
      </w:r>
      <w:r w:rsidR="00CC63F8">
        <w:t xml:space="preserve"> </w:t>
      </w:r>
      <w:r w:rsidR="001E6A5F">
        <w:t>mus</w:t>
      </w:r>
      <w:r w:rsidR="00CC63F8">
        <w:t>t</w:t>
      </w:r>
      <w:r w:rsidR="001E6A5F">
        <w:t xml:space="preserve"> also meet the PBS criteria</w:t>
      </w:r>
      <w:r w:rsidR="006D203C">
        <w:t xml:space="preserve"> to access treatment (prior anthracycline and </w:t>
      </w:r>
      <w:proofErr w:type="spellStart"/>
      <w:r w:rsidR="006D203C">
        <w:t>taxane</w:t>
      </w:r>
      <w:proofErr w:type="spellEnd"/>
      <w:r w:rsidR="006D203C">
        <w:t xml:space="preserve"> therapy and refractory to hormone therapy).</w:t>
      </w:r>
    </w:p>
    <w:p w14:paraId="38D7A24B" w14:textId="77777777" w:rsidR="00527E47" w:rsidRDefault="00527E47" w:rsidP="00527E47">
      <w:pPr>
        <w:pStyle w:val="ListParagraph"/>
        <w:ind w:left="360"/>
        <w:jc w:val="both"/>
      </w:pPr>
    </w:p>
    <w:p w14:paraId="37C3CEEF" w14:textId="0B97C5C8" w:rsidR="002053F2" w:rsidRPr="00304828" w:rsidRDefault="00C4221B" w:rsidP="00304828">
      <w:pPr>
        <w:pStyle w:val="ListParagraph"/>
        <w:ind w:left="360"/>
        <w:jc w:val="both"/>
      </w:pPr>
      <w:r w:rsidRPr="003A0817">
        <w:t>Other medical service</w:t>
      </w:r>
      <w:r w:rsidR="00E66B09" w:rsidRPr="003A0817">
        <w:t>s</w:t>
      </w:r>
      <w:r w:rsidRPr="003A0817">
        <w:t xml:space="preserve"> which will also increase as a consequence will be </w:t>
      </w:r>
      <w:r w:rsidR="003A0817" w:rsidRPr="003A0817">
        <w:t>post-test genetic</w:t>
      </w:r>
      <w:r w:rsidR="003A0817">
        <w:t xml:space="preserve"> counselling (MBS item # 73295) for patients found to have a </w:t>
      </w:r>
      <w:r w:rsidR="003A0817" w:rsidRPr="00110F93">
        <w:rPr>
          <w:i/>
        </w:rPr>
        <w:t>BRCA1/2</w:t>
      </w:r>
      <w:r w:rsidR="003A0817">
        <w:t xml:space="preserve"> mutation.</w:t>
      </w:r>
    </w:p>
    <w:p w14:paraId="6DE66EC1" w14:textId="77777777" w:rsidR="001B29A1" w:rsidRDefault="001B29A1" w:rsidP="00881F93">
      <w:pPr>
        <w:rPr>
          <w:b/>
          <w:i/>
          <w:szCs w:val="20"/>
          <w:u w:val="single"/>
        </w:rPr>
      </w:pPr>
      <w:r>
        <w:rPr>
          <w:b/>
          <w:i/>
          <w:szCs w:val="20"/>
          <w:u w:val="single"/>
        </w:rPr>
        <w:br w:type="page"/>
      </w:r>
    </w:p>
    <w:p w14:paraId="3C33CA57"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29E6388F" w14:textId="77777777"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0148E56" w14:textId="1FBEB047" w:rsidR="00BC6835" w:rsidRPr="00BC6835" w:rsidRDefault="00830001" w:rsidP="00335957">
      <w:pPr>
        <w:ind w:left="360"/>
      </w:pPr>
      <w:r>
        <w:t xml:space="preserve">Based on the results of </w:t>
      </w:r>
      <w:proofErr w:type="spellStart"/>
      <w:r>
        <w:t>Olym</w:t>
      </w:r>
      <w:r w:rsidR="00BC6835">
        <w:t>p</w:t>
      </w:r>
      <w:r>
        <w:t>i</w:t>
      </w:r>
      <w:r w:rsidR="00BC6835">
        <w:t>AD</w:t>
      </w:r>
      <w:proofErr w:type="spellEnd"/>
      <w:r w:rsidR="00BC6835">
        <w:t xml:space="preserve"> describe</w:t>
      </w:r>
      <w:r w:rsidR="00335957">
        <w:t>d in #43 above.</w:t>
      </w:r>
    </w:p>
    <w:p w14:paraId="2FA51830" w14:textId="2713660B" w:rsidR="004020DA" w:rsidRPr="00BC6835" w:rsidRDefault="009C23EE" w:rsidP="00335957">
      <w:pPr>
        <w:ind w:left="360"/>
        <w:jc w:val="both"/>
        <w:rPr>
          <w:b/>
        </w:rPr>
      </w:pPr>
      <w:r w:rsidRPr="00BC6835">
        <w:t>The overall clinical claim is that the proposed co-dependent technologies (</w:t>
      </w:r>
      <w:r w:rsidR="00BC6835">
        <w:t xml:space="preserve">germline </w:t>
      </w:r>
      <w:r w:rsidRPr="00BC6835">
        <w:rPr>
          <w:i/>
        </w:rPr>
        <w:t>BRCA</w:t>
      </w:r>
      <w:r w:rsidR="00BC6835">
        <w:t xml:space="preserve"> </w:t>
      </w:r>
      <w:r w:rsidRPr="00BC6835">
        <w:t>m</w:t>
      </w:r>
      <w:r w:rsidR="00BC6835">
        <w:t>utation</w:t>
      </w:r>
      <w:r w:rsidRPr="00BC6835">
        <w:t xml:space="preserve"> testing and </w:t>
      </w:r>
      <w:proofErr w:type="spellStart"/>
      <w:r w:rsidRPr="00BC6835">
        <w:t>olaparib</w:t>
      </w:r>
      <w:proofErr w:type="spellEnd"/>
      <w:r w:rsidRPr="00BC6835">
        <w:t xml:space="preserve">) are </w:t>
      </w:r>
      <w:r w:rsidRPr="00BC6835">
        <w:rPr>
          <w:u w:val="single"/>
        </w:rPr>
        <w:t>superior</w:t>
      </w:r>
      <w:r w:rsidRPr="00BC6835">
        <w:t xml:space="preserve"> in terms of comparative effectiveness versus the main comparator (i.e. no test</w:t>
      </w:r>
      <w:r w:rsidR="00BC6835" w:rsidRPr="00BC6835">
        <w:t xml:space="preserve">ing with the standard </w:t>
      </w:r>
      <w:r w:rsidRPr="00BC6835">
        <w:t>c</w:t>
      </w:r>
      <w:r w:rsidR="00BC6835" w:rsidRPr="00BC6835">
        <w:t>are</w:t>
      </w:r>
      <w:r w:rsidR="00BC6835">
        <w:t xml:space="preserve"> single agent chemotherapy</w:t>
      </w:r>
      <w:r w:rsidR="00BC6835" w:rsidRPr="00BC6835">
        <w:t xml:space="preserve">) in patients </w:t>
      </w:r>
      <w:r w:rsidR="006A3FC8">
        <w:t xml:space="preserve">who </w:t>
      </w:r>
      <w:proofErr w:type="spellStart"/>
      <w:r w:rsidR="006A3FC8">
        <w:t>habour</w:t>
      </w:r>
      <w:proofErr w:type="spellEnd"/>
      <w:r w:rsidR="006A3FC8">
        <w:t xml:space="preserve"> a </w:t>
      </w:r>
      <w:proofErr w:type="spellStart"/>
      <w:r w:rsidR="006A3FC8">
        <w:t>g</w:t>
      </w:r>
      <w:r w:rsidR="006A3FC8" w:rsidRPr="00830001">
        <w:rPr>
          <w:i/>
        </w:rPr>
        <w:t>BRCA</w:t>
      </w:r>
      <w:proofErr w:type="spellEnd"/>
      <w:r w:rsidR="006A3FC8" w:rsidRPr="00830001">
        <w:rPr>
          <w:i/>
        </w:rPr>
        <w:t xml:space="preserve"> </w:t>
      </w:r>
      <w:r w:rsidR="00E97C4B">
        <w:t>mu</w:t>
      </w:r>
      <w:r w:rsidR="006A3FC8">
        <w:t xml:space="preserve">tation </w:t>
      </w:r>
      <w:r w:rsidR="00BC6835" w:rsidRPr="00BC6835">
        <w:t>with</w:t>
      </w:r>
      <w:r w:rsidR="00BC6835">
        <w:rPr>
          <w:b/>
        </w:rPr>
        <w:t xml:space="preserve"> </w:t>
      </w:r>
      <w:r w:rsidR="00F241A9" w:rsidRPr="00BC6835">
        <w:t>locally advanced or metastatic</w:t>
      </w:r>
      <w:r w:rsidR="006A3FC8">
        <w:t xml:space="preserve"> HER2-</w:t>
      </w:r>
      <w:r w:rsidR="00F241A9" w:rsidRPr="00BC6835">
        <w:t xml:space="preserve"> breast cancer which are hormone receptor positive, or triple negative</w:t>
      </w:r>
      <w:r w:rsidR="00BC6835" w:rsidRPr="00BC6835">
        <w:t>.</w:t>
      </w:r>
    </w:p>
    <w:p w14:paraId="6B9DC3F3" w14:textId="77777777" w:rsidR="004E3CC7" w:rsidRPr="00154B00" w:rsidRDefault="001B29A1" w:rsidP="001B29A1">
      <w:pPr>
        <w:ind w:left="426"/>
        <w:rPr>
          <w:szCs w:val="20"/>
        </w:rPr>
      </w:pPr>
      <w:r>
        <w:fldChar w:fldCharType="begin">
          <w:ffData>
            <w:name w:val=""/>
            <w:enabled/>
            <w:calcOnExit w:val="0"/>
            <w:textInput>
              <w:default w:val="Summarise clinical claims here"/>
            </w:textInput>
          </w:ffData>
        </w:fldChar>
      </w:r>
      <w:r>
        <w:instrText xml:space="preserve"> FORMTEXT </w:instrText>
      </w:r>
      <w:r>
        <w:fldChar w:fldCharType="separate"/>
      </w:r>
      <w:r>
        <w:rPr>
          <w:noProof/>
        </w:rPr>
        <w:t>Summarise clinical claims here</w:t>
      </w:r>
      <w:r>
        <w:fldChar w:fldCharType="end"/>
      </w:r>
      <w:r w:rsidR="00ED4529">
        <w:t xml:space="preserve"> </w:t>
      </w:r>
    </w:p>
    <w:p w14:paraId="1E7338F1"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r w:rsidR="00422BE0" w:rsidRPr="00422BE0">
        <w:rPr>
          <w:b w:val="0"/>
          <w:noProof/>
          <w:szCs w:val="22"/>
          <w:lang w:eastAsia="en-AU"/>
        </w:rPr>
        <w:t xml:space="preserve"> </w:t>
      </w:r>
    </w:p>
    <w:p w14:paraId="455C2C2C" w14:textId="77777777" w:rsidR="001B29A1" w:rsidRPr="001B29A1" w:rsidRDefault="00467E0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C177DC8"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F14C5">
        <w:rPr>
          <w:szCs w:val="20"/>
        </w:rPr>
      </w:r>
      <w:r w:rsidR="001F14C5">
        <w:rPr>
          <w:szCs w:val="20"/>
        </w:rPr>
        <w:fldChar w:fldCharType="separate"/>
      </w:r>
      <w:r w:rsidRPr="001B29A1">
        <w:rPr>
          <w:szCs w:val="20"/>
        </w:rPr>
        <w:fldChar w:fldCharType="end"/>
      </w:r>
      <w:r w:rsidRPr="001B29A1">
        <w:rPr>
          <w:szCs w:val="20"/>
        </w:rPr>
        <w:t xml:space="preserve"> Non-inferiority</w:t>
      </w:r>
      <w:r w:rsidRPr="001B29A1">
        <w:rPr>
          <w:szCs w:val="20"/>
        </w:rPr>
        <w:tab/>
      </w:r>
    </w:p>
    <w:p w14:paraId="2C414DC8"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051A954" w14:textId="77777777" w:rsidR="00790FA3"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37D9D3C8" w14:textId="77777777" w:rsidR="00613767" w:rsidRPr="00613767" w:rsidRDefault="00790FA3" w:rsidP="001B29A1">
      <w:pPr>
        <w:pBdr>
          <w:top w:val="single" w:sz="4" w:space="1" w:color="auto"/>
          <w:left w:val="single" w:sz="4" w:space="4" w:color="auto"/>
          <w:bottom w:val="single" w:sz="4" w:space="1" w:color="auto"/>
          <w:right w:val="single" w:sz="4" w:space="4" w:color="auto"/>
        </w:pBdr>
        <w:rPr>
          <w:szCs w:val="20"/>
        </w:rPr>
      </w:pPr>
      <w:r w:rsidRPr="00613767">
        <w:rPr>
          <w:szCs w:val="20"/>
        </w:rPr>
        <w:t xml:space="preserve">The safety and tolerability of </w:t>
      </w:r>
      <w:proofErr w:type="spellStart"/>
      <w:r w:rsidRPr="00613767">
        <w:rPr>
          <w:szCs w:val="20"/>
        </w:rPr>
        <w:t>olaparib</w:t>
      </w:r>
      <w:proofErr w:type="spellEnd"/>
      <w:r w:rsidRPr="00613767">
        <w:rPr>
          <w:szCs w:val="20"/>
        </w:rPr>
        <w:t xml:space="preserve"> monotherapy </w:t>
      </w:r>
      <w:r w:rsidR="00613767" w:rsidRPr="00613767">
        <w:rPr>
          <w:szCs w:val="20"/>
        </w:rPr>
        <w:t>treatment assessed by adverse events. Physical examination, vital signs including blood pressure, pulse, electrocardiogram and laboratory findings.</w:t>
      </w:r>
    </w:p>
    <w:p w14:paraId="6C7F909E" w14:textId="77777777" w:rsidR="00F40887"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33B17051" w14:textId="77777777" w:rsidR="00613767" w:rsidRDefault="00613767" w:rsidP="001B29A1">
      <w:pPr>
        <w:pBdr>
          <w:top w:val="single" w:sz="4" w:space="1" w:color="auto"/>
          <w:left w:val="single" w:sz="4" w:space="4" w:color="auto"/>
          <w:bottom w:val="single" w:sz="4" w:space="1" w:color="auto"/>
          <w:right w:val="single" w:sz="4" w:space="4" w:color="auto"/>
        </w:pBdr>
        <w:rPr>
          <w:i/>
        </w:rPr>
      </w:pPr>
      <w:r w:rsidRPr="00613767">
        <w:rPr>
          <w:i/>
        </w:rPr>
        <w:t>Test Outcomes:</w:t>
      </w:r>
    </w:p>
    <w:p w14:paraId="392EB129" w14:textId="77777777" w:rsidR="00E45BEA" w:rsidRPr="005B0B97" w:rsidRDefault="00E45BEA" w:rsidP="00E45BEA">
      <w:pPr>
        <w:pBdr>
          <w:top w:val="single" w:sz="4" w:space="1" w:color="auto"/>
          <w:left w:val="single" w:sz="4" w:space="4" w:color="auto"/>
          <w:bottom w:val="single" w:sz="4" w:space="1" w:color="auto"/>
          <w:right w:val="single" w:sz="4" w:space="4" w:color="auto"/>
        </w:pBdr>
        <w:rPr>
          <w:i/>
          <w:szCs w:val="20"/>
        </w:rPr>
      </w:pPr>
      <w:r w:rsidRPr="005B0B97">
        <w:rPr>
          <w:i/>
          <w:szCs w:val="20"/>
        </w:rPr>
        <w:t xml:space="preserve">Trial based </w:t>
      </w:r>
      <w:r>
        <w:rPr>
          <w:i/>
          <w:szCs w:val="20"/>
        </w:rPr>
        <w:t xml:space="preserve">(evidentiary standard) germline BRCA1/2 mutation </w:t>
      </w:r>
      <w:r w:rsidRPr="005B0B97">
        <w:rPr>
          <w:i/>
          <w:szCs w:val="20"/>
        </w:rPr>
        <w:t>assay analytical performance:</w:t>
      </w:r>
    </w:p>
    <w:p w14:paraId="4F4F54A6"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Sensitivity</w:t>
      </w:r>
    </w:p>
    <w:p w14:paraId="316F4D95"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Specificity</w:t>
      </w:r>
    </w:p>
    <w:p w14:paraId="1600087A"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Positive predictive value</w:t>
      </w:r>
    </w:p>
    <w:p w14:paraId="1A51DE67"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Negative predictive value</w:t>
      </w:r>
    </w:p>
    <w:p w14:paraId="51CDE418" w14:textId="77777777" w:rsidR="00E45BEA" w:rsidRPr="005B0B97" w:rsidRDefault="00E45BEA" w:rsidP="00E45BEA">
      <w:pPr>
        <w:pBdr>
          <w:top w:val="single" w:sz="4" w:space="1" w:color="auto"/>
          <w:left w:val="single" w:sz="4" w:space="4" w:color="auto"/>
          <w:bottom w:val="single" w:sz="4" w:space="1" w:color="auto"/>
          <w:right w:val="single" w:sz="4" w:space="4" w:color="auto"/>
        </w:pBdr>
        <w:rPr>
          <w:i/>
          <w:szCs w:val="20"/>
        </w:rPr>
      </w:pPr>
      <w:r>
        <w:rPr>
          <w:i/>
          <w:szCs w:val="20"/>
        </w:rPr>
        <w:t>Comparative performance of germline BRCA1/2</w:t>
      </w:r>
      <w:r w:rsidRPr="005B0B97">
        <w:rPr>
          <w:i/>
          <w:szCs w:val="20"/>
        </w:rPr>
        <w:t xml:space="preserve"> testing methods:</w:t>
      </w:r>
    </w:p>
    <w:p w14:paraId="62B43BEB"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Concordance with other commercially available germline BRCA1/2 mutation platforms</w:t>
      </w:r>
    </w:p>
    <w:p w14:paraId="376B7FFC"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Concordance with other commercially available germline BRCA1/2 mutation assays</w:t>
      </w:r>
    </w:p>
    <w:p w14:paraId="3219C9AE" w14:textId="77777777" w:rsidR="001523BF" w:rsidRPr="00115EEC" w:rsidRDefault="00115EEC" w:rsidP="001B29A1">
      <w:pPr>
        <w:pBdr>
          <w:top w:val="single" w:sz="4" w:space="1" w:color="auto"/>
          <w:left w:val="single" w:sz="4" w:space="4" w:color="auto"/>
          <w:bottom w:val="single" w:sz="4" w:space="1" w:color="auto"/>
          <w:right w:val="single" w:sz="4" w:space="4" w:color="auto"/>
        </w:pBdr>
        <w:rPr>
          <w:szCs w:val="20"/>
        </w:rPr>
      </w:pPr>
      <w:r>
        <w:rPr>
          <w:szCs w:val="20"/>
        </w:rPr>
        <w:t>Re-testing rates</w:t>
      </w:r>
    </w:p>
    <w:p w14:paraId="225AD79A" w14:textId="77777777" w:rsidR="00613767" w:rsidRDefault="00613767" w:rsidP="001B29A1">
      <w:pPr>
        <w:pBdr>
          <w:top w:val="single" w:sz="4" w:space="1" w:color="auto"/>
          <w:left w:val="single" w:sz="4" w:space="4" w:color="auto"/>
          <w:bottom w:val="single" w:sz="4" w:space="1" w:color="auto"/>
          <w:right w:val="single" w:sz="4" w:space="4" w:color="auto"/>
        </w:pBdr>
        <w:rPr>
          <w:i/>
        </w:rPr>
      </w:pPr>
      <w:r>
        <w:rPr>
          <w:i/>
        </w:rPr>
        <w:t>Drug Outcomes:</w:t>
      </w:r>
    </w:p>
    <w:p w14:paraId="120DFC0D" w14:textId="77777777" w:rsidR="00613767" w:rsidRDefault="00613767" w:rsidP="001B29A1">
      <w:pPr>
        <w:pBdr>
          <w:top w:val="single" w:sz="4" w:space="1" w:color="auto"/>
          <w:left w:val="single" w:sz="4" w:space="4" w:color="auto"/>
          <w:bottom w:val="single" w:sz="4" w:space="1" w:color="auto"/>
          <w:right w:val="single" w:sz="4" w:space="4" w:color="auto"/>
        </w:pBdr>
      </w:pPr>
      <w:r>
        <w:t xml:space="preserve">Progression free survival </w:t>
      </w:r>
      <w:r w:rsidR="00467E0B">
        <w:t xml:space="preserve">(PFS) </w:t>
      </w:r>
      <w:r>
        <w:t>(according to RECIST</w:t>
      </w:r>
      <w:proofErr w:type="gramStart"/>
      <w:r>
        <w:t>)</w:t>
      </w:r>
      <w:r w:rsidR="00422BE0">
        <w:t>-</w:t>
      </w:r>
      <w:proofErr w:type="gramEnd"/>
      <w:r w:rsidR="00422BE0">
        <w:t xml:space="preserve"> Independent Review</w:t>
      </w:r>
    </w:p>
    <w:p w14:paraId="3D8B2EAD" w14:textId="77777777" w:rsidR="00613767" w:rsidRDefault="001523BF" w:rsidP="001B29A1">
      <w:pPr>
        <w:pBdr>
          <w:top w:val="single" w:sz="4" w:space="1" w:color="auto"/>
          <w:left w:val="single" w:sz="4" w:space="4" w:color="auto"/>
          <w:bottom w:val="single" w:sz="4" w:space="1" w:color="auto"/>
          <w:right w:val="single" w:sz="4" w:space="4" w:color="auto"/>
        </w:pBdr>
      </w:pPr>
      <w:r>
        <w:t>Overall Survival</w:t>
      </w:r>
      <w:r w:rsidR="00467E0B">
        <w:t xml:space="preserve"> (OS)</w:t>
      </w:r>
    </w:p>
    <w:p w14:paraId="1F8A8648" w14:textId="77777777" w:rsidR="001523BF" w:rsidRDefault="001523BF" w:rsidP="001B29A1">
      <w:pPr>
        <w:pBdr>
          <w:top w:val="single" w:sz="4" w:space="1" w:color="auto"/>
          <w:left w:val="single" w:sz="4" w:space="4" w:color="auto"/>
          <w:bottom w:val="single" w:sz="4" w:space="1" w:color="auto"/>
          <w:right w:val="single" w:sz="4" w:space="4" w:color="auto"/>
        </w:pBdr>
      </w:pPr>
      <w:r>
        <w:t>Time from randomisation to second progression-free event/death after first progression event</w:t>
      </w:r>
      <w:r w:rsidR="00467E0B">
        <w:t xml:space="preserve"> (PFS2)</w:t>
      </w:r>
    </w:p>
    <w:p w14:paraId="204E2D0F" w14:textId="77777777" w:rsidR="001523BF" w:rsidRPr="00613767" w:rsidRDefault="001523BF" w:rsidP="001B29A1">
      <w:pPr>
        <w:pBdr>
          <w:top w:val="single" w:sz="4" w:space="1" w:color="auto"/>
          <w:left w:val="single" w:sz="4" w:space="4" w:color="auto"/>
          <w:bottom w:val="single" w:sz="4" w:space="1" w:color="auto"/>
          <w:right w:val="single" w:sz="4" w:space="4" w:color="auto"/>
        </w:pBdr>
      </w:pPr>
      <w:r>
        <w:t>Health related quality of life (according to European</w:t>
      </w:r>
      <w:r w:rsidR="00422BE0">
        <w:t xml:space="preserve"> Organisation for Research and T</w:t>
      </w:r>
      <w:r>
        <w:t xml:space="preserve">reatment of Cancer Quality of Life </w:t>
      </w:r>
      <w:r w:rsidR="00E45BEA">
        <w:t>Questionnaire</w:t>
      </w:r>
      <w:r>
        <w:t xml:space="preserve"> [</w:t>
      </w:r>
      <w:r w:rsidR="00422BE0">
        <w:t>EORTC-</w:t>
      </w:r>
      <w:r>
        <w:t>QLQ-C30])</w:t>
      </w:r>
    </w:p>
    <w:p w14:paraId="72235510"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08344FE" w14:textId="77777777" w:rsidR="00C776B1" w:rsidRPr="00C776B1" w:rsidRDefault="003433D1" w:rsidP="00613767">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6FA999E"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r w:rsidR="005665BE">
        <w:t xml:space="preserve">  </w:t>
      </w:r>
    </w:p>
    <w:p w14:paraId="468810E9" w14:textId="1F3C5FD8" w:rsidR="008A29AC" w:rsidRPr="005A012F" w:rsidRDefault="008A29AC" w:rsidP="00913E9B">
      <w:pPr>
        <w:ind w:left="360"/>
        <w:jc w:val="both"/>
      </w:pPr>
      <w:r w:rsidRPr="005A012F">
        <w:t xml:space="preserve">It is proposed that patients would be tested for a </w:t>
      </w:r>
      <w:r w:rsidRPr="00B042E5">
        <w:rPr>
          <w:i/>
        </w:rPr>
        <w:t>BRCA</w:t>
      </w:r>
      <w:r w:rsidRPr="005A012F">
        <w:t xml:space="preserve"> mutation when th</w:t>
      </w:r>
      <w:r w:rsidR="00F561C6">
        <w:t xml:space="preserve">e clinician has determined the </w:t>
      </w:r>
      <w:r w:rsidRPr="005A012F">
        <w:t xml:space="preserve">patient may benefit from treatment with </w:t>
      </w:r>
      <w:proofErr w:type="spellStart"/>
      <w:r w:rsidRPr="005A012F">
        <w:t>olaparib</w:t>
      </w:r>
      <w:proofErr w:type="spellEnd"/>
      <w:r w:rsidRPr="005A012F">
        <w:t xml:space="preserve"> and have</w:t>
      </w:r>
      <w:r w:rsidR="001C3EF0" w:rsidRPr="005A012F">
        <w:t xml:space="preserve"> therefore met the PBS criteria</w:t>
      </w:r>
      <w:r w:rsidRPr="005A012F">
        <w:t xml:space="preserve"> to access treatm</w:t>
      </w:r>
      <w:r w:rsidR="00FB06BB" w:rsidRPr="005A012F">
        <w:t xml:space="preserve">ent. The proposed PBS criteria </w:t>
      </w:r>
      <w:r w:rsidRPr="005A012F">
        <w:t xml:space="preserve">for </w:t>
      </w:r>
      <w:proofErr w:type="spellStart"/>
      <w:r w:rsidRPr="005A012F">
        <w:t>olaparib</w:t>
      </w:r>
      <w:proofErr w:type="spellEnd"/>
      <w:r w:rsidRPr="005A012F">
        <w:t xml:space="preserve"> is for patients with </w:t>
      </w:r>
      <w:r w:rsidR="009D4ABD" w:rsidRPr="005A012F">
        <w:t xml:space="preserve">locally </w:t>
      </w:r>
      <w:r w:rsidRPr="005A012F">
        <w:t>advanced metastatic breast cancer whom are hormone receptor positive</w:t>
      </w:r>
      <w:r w:rsidR="00B83F19">
        <w:t xml:space="preserve"> </w:t>
      </w:r>
      <w:r w:rsidR="00B042E5">
        <w:t xml:space="preserve">(either </w:t>
      </w:r>
      <w:r w:rsidRPr="005A012F">
        <w:t>HER2 negative or triple negative</w:t>
      </w:r>
      <w:r w:rsidR="00B042E5">
        <w:t>)</w:t>
      </w:r>
      <w:r w:rsidR="00830001">
        <w:t xml:space="preserve"> with a germline</w:t>
      </w:r>
      <w:r w:rsidR="00FB06BB" w:rsidRPr="005A012F">
        <w:t xml:space="preserve"> </w:t>
      </w:r>
      <w:r w:rsidR="00FB06BB" w:rsidRPr="00830001">
        <w:rPr>
          <w:i/>
        </w:rPr>
        <w:t>BRCA</w:t>
      </w:r>
      <w:r w:rsidR="00FB06BB" w:rsidRPr="005A012F">
        <w:t xml:space="preserve"> mutation</w:t>
      </w:r>
      <w:r w:rsidRPr="005A012F">
        <w:t xml:space="preserve">. Patients must also have </w:t>
      </w:r>
      <w:r w:rsidR="009D4ABD" w:rsidRPr="005A012F">
        <w:t xml:space="preserve">received prior treatment with an anthracycline and a </w:t>
      </w:r>
      <w:proofErr w:type="spellStart"/>
      <w:r w:rsidR="009D4ABD" w:rsidRPr="005A012F">
        <w:t>taxane</w:t>
      </w:r>
      <w:proofErr w:type="spellEnd"/>
      <w:r w:rsidR="009D4ABD" w:rsidRPr="005A012F">
        <w:t xml:space="preserve"> in either the adjuvant or metastatic setting.</w:t>
      </w:r>
    </w:p>
    <w:p w14:paraId="4A5C4399" w14:textId="0E82E4B3" w:rsidR="00AC0D1C" w:rsidRDefault="00E30E01" w:rsidP="00E30E01">
      <w:pPr>
        <w:ind w:left="360"/>
        <w:jc w:val="both"/>
      </w:pPr>
      <w:r w:rsidRPr="005A012F">
        <w:t>Based on current information to date, the best estimate of the population to be tes</w:t>
      </w:r>
      <w:r w:rsidR="0000053B">
        <w:t xml:space="preserve">ted is based on </w:t>
      </w:r>
      <w:r w:rsidRPr="005A012F">
        <w:t>assumptions</w:t>
      </w:r>
      <w:r w:rsidR="005A012F" w:rsidRPr="005A012F">
        <w:t xml:space="preserve"> presented in </w:t>
      </w:r>
      <w:r w:rsidR="005A012F" w:rsidRPr="0000053B">
        <w:rPr>
          <w:b/>
        </w:rPr>
        <w:fldChar w:fldCharType="begin"/>
      </w:r>
      <w:r w:rsidR="005A012F" w:rsidRPr="0000053B">
        <w:rPr>
          <w:b/>
        </w:rPr>
        <w:instrText xml:space="preserve"> REF _Ref486930360 \h  \* MERGEFORMAT </w:instrText>
      </w:r>
      <w:r w:rsidR="005A012F" w:rsidRPr="0000053B">
        <w:rPr>
          <w:b/>
        </w:rPr>
      </w:r>
      <w:r w:rsidR="005A012F" w:rsidRPr="0000053B">
        <w:rPr>
          <w:b/>
        </w:rPr>
        <w:fldChar w:fldCharType="separate"/>
      </w:r>
      <w:r w:rsidR="007730CB" w:rsidRPr="0000053B">
        <w:rPr>
          <w:b/>
          <w:sz w:val="18"/>
          <w:szCs w:val="18"/>
        </w:rPr>
        <w:t xml:space="preserve">Table </w:t>
      </w:r>
      <w:r w:rsidR="007730CB" w:rsidRPr="0000053B">
        <w:rPr>
          <w:b/>
          <w:noProof/>
          <w:sz w:val="18"/>
          <w:szCs w:val="18"/>
        </w:rPr>
        <w:t>1</w:t>
      </w:r>
      <w:r w:rsidR="005A012F" w:rsidRPr="0000053B">
        <w:rPr>
          <w:b/>
        </w:rPr>
        <w:fldChar w:fldCharType="end"/>
      </w:r>
      <w:r w:rsidR="005A012F" w:rsidRPr="005A012F">
        <w:t xml:space="preserve"> below</w:t>
      </w:r>
      <w:r w:rsidRPr="005A012F">
        <w:t xml:space="preserve">. </w:t>
      </w:r>
      <w:r w:rsidR="00AC0D1C">
        <w:t>The</w:t>
      </w:r>
      <w:r w:rsidR="00B042E5">
        <w:t xml:space="preserve"> estimated incidence </w:t>
      </w:r>
      <w:r w:rsidR="00AC0D1C">
        <w:t>is based on the Australia Institute of Health and Welfare</w:t>
      </w:r>
      <w:r w:rsidR="002A6052">
        <w:t xml:space="preserve"> (AIHW) </w:t>
      </w:r>
      <w:r w:rsidR="00B042E5">
        <w:t xml:space="preserve">projected </w:t>
      </w:r>
      <w:r w:rsidR="00AC0D1C">
        <w:t xml:space="preserve">figures for 2019 (the proposed year that </w:t>
      </w:r>
      <w:r w:rsidR="00AC0D1C" w:rsidRPr="00B042E5">
        <w:rPr>
          <w:i/>
        </w:rPr>
        <w:t>BRCA</w:t>
      </w:r>
      <w:r w:rsidR="002A6052">
        <w:t xml:space="preserve"> test</w:t>
      </w:r>
      <w:r w:rsidR="00AC0D1C">
        <w:t xml:space="preserve"> and </w:t>
      </w:r>
      <w:proofErr w:type="spellStart"/>
      <w:r w:rsidR="00AC0D1C">
        <w:t>olaparib</w:t>
      </w:r>
      <w:proofErr w:type="spellEnd"/>
      <w:r w:rsidR="00AC0D1C">
        <w:t xml:space="preserve"> would be funded on the MBS and PBS). AIHW estimated that in 2019 t</w:t>
      </w:r>
      <w:r w:rsidR="002A6052">
        <w:t xml:space="preserve">here will be approximately 18066 Australians </w:t>
      </w:r>
      <w:r w:rsidR="00AC0D1C">
        <w:t>newly diagnosed with breast cancer.</w:t>
      </w:r>
    </w:p>
    <w:p w14:paraId="1B768212" w14:textId="13786518" w:rsidR="00AC0D1C" w:rsidRPr="005A012F" w:rsidRDefault="00E30E01" w:rsidP="00830001">
      <w:pPr>
        <w:ind w:left="360"/>
        <w:jc w:val="both"/>
      </w:pPr>
      <w:r w:rsidRPr="005A012F">
        <w:t>Please note that the co-dependent MSAC/PBAC submission will incl</w:t>
      </w:r>
      <w:r w:rsidR="005A012F" w:rsidRPr="005A012F">
        <w:t xml:space="preserve">ude further </w:t>
      </w:r>
      <w:r w:rsidRPr="005A012F">
        <w:t>detailed informati</w:t>
      </w:r>
      <w:r w:rsidR="00FB06BB" w:rsidRPr="005A012F">
        <w:t xml:space="preserve">on to </w:t>
      </w:r>
      <w:r w:rsidR="005A012F" w:rsidRPr="005A012F">
        <w:t>these estimates.</w:t>
      </w:r>
    </w:p>
    <w:p w14:paraId="299FEB89" w14:textId="2761BF84" w:rsidR="00312F2E" w:rsidRPr="005A012F" w:rsidRDefault="00F41B45" w:rsidP="005A012F">
      <w:pPr>
        <w:pStyle w:val="Caption"/>
        <w:ind w:left="360"/>
        <w:rPr>
          <w:rFonts w:asciiTheme="minorHAnsi" w:hAnsiTheme="minorHAnsi"/>
          <w:sz w:val="18"/>
        </w:rPr>
      </w:pPr>
      <w:bookmarkStart w:id="4" w:name="_Ref486930360"/>
      <w:r w:rsidRPr="005A012F">
        <w:rPr>
          <w:rFonts w:asciiTheme="minorHAnsi" w:hAnsiTheme="minorHAnsi"/>
          <w:sz w:val="18"/>
        </w:rPr>
        <w:t xml:space="preserve">Table </w:t>
      </w:r>
      <w:r w:rsidRPr="005A012F">
        <w:rPr>
          <w:rFonts w:asciiTheme="minorHAnsi" w:hAnsiTheme="minorHAnsi"/>
          <w:sz w:val="18"/>
        </w:rPr>
        <w:fldChar w:fldCharType="begin"/>
      </w:r>
      <w:r w:rsidRPr="005A012F">
        <w:rPr>
          <w:rFonts w:asciiTheme="minorHAnsi" w:hAnsiTheme="minorHAnsi"/>
          <w:sz w:val="18"/>
        </w:rPr>
        <w:instrText xml:space="preserve"> SEQ Table \* ARABIC </w:instrText>
      </w:r>
      <w:r w:rsidRPr="005A012F">
        <w:rPr>
          <w:rFonts w:asciiTheme="minorHAnsi" w:hAnsiTheme="minorHAnsi"/>
          <w:sz w:val="18"/>
        </w:rPr>
        <w:fldChar w:fldCharType="separate"/>
      </w:r>
      <w:r w:rsidR="00A61316">
        <w:rPr>
          <w:rFonts w:asciiTheme="minorHAnsi" w:hAnsiTheme="minorHAnsi"/>
          <w:noProof/>
          <w:sz w:val="18"/>
        </w:rPr>
        <w:t>1</w:t>
      </w:r>
      <w:r w:rsidRPr="005A012F">
        <w:rPr>
          <w:rFonts w:asciiTheme="minorHAnsi" w:hAnsiTheme="minorHAnsi"/>
          <w:sz w:val="18"/>
        </w:rPr>
        <w:fldChar w:fldCharType="end"/>
      </w:r>
      <w:bookmarkEnd w:id="4"/>
      <w:r w:rsidRPr="005A012F">
        <w:rPr>
          <w:rFonts w:asciiTheme="minorHAnsi" w:hAnsiTheme="minorHAnsi"/>
          <w:sz w:val="18"/>
        </w:rPr>
        <w:t xml:space="preserve"> </w:t>
      </w:r>
      <w:r w:rsidR="005A012F" w:rsidRPr="005A012F">
        <w:rPr>
          <w:rFonts w:asciiTheme="minorHAnsi" w:hAnsiTheme="minorHAnsi"/>
          <w:sz w:val="18"/>
        </w:rPr>
        <w:t xml:space="preserve">Estimated eligible population </w:t>
      </w:r>
      <w:r w:rsidR="00AE6BBC">
        <w:rPr>
          <w:rFonts w:asciiTheme="minorHAnsi" w:hAnsiTheme="minorHAnsi"/>
          <w:sz w:val="18"/>
        </w:rPr>
        <w:t>in 2019</w:t>
      </w:r>
    </w:p>
    <w:tbl>
      <w:tblPr>
        <w:tblStyle w:val="TableGrid"/>
        <w:tblW w:w="0" w:type="auto"/>
        <w:tblInd w:w="360" w:type="dxa"/>
        <w:tblLook w:val="04A0" w:firstRow="1" w:lastRow="0" w:firstColumn="1" w:lastColumn="0" w:noHBand="0" w:noVBand="1"/>
        <w:tblCaption w:val="Table showing Estimated eligible population in 2019"/>
      </w:tblPr>
      <w:tblGrid>
        <w:gridCol w:w="5589"/>
        <w:gridCol w:w="3067"/>
      </w:tblGrid>
      <w:tr w:rsidR="005660A3" w:rsidRPr="005A012F" w14:paraId="2D3E7AF6" w14:textId="77777777" w:rsidTr="001F14C5">
        <w:trPr>
          <w:tblHeader/>
        </w:trPr>
        <w:tc>
          <w:tcPr>
            <w:tcW w:w="5589" w:type="dxa"/>
          </w:tcPr>
          <w:p w14:paraId="60E5A58A" w14:textId="56EFEC4A" w:rsidR="005660A3" w:rsidRPr="005A012F" w:rsidRDefault="00F41B45" w:rsidP="005660A3">
            <w:pPr>
              <w:spacing w:before="0" w:after="0"/>
              <w:rPr>
                <w:szCs w:val="20"/>
              </w:rPr>
            </w:pPr>
            <w:r w:rsidRPr="005A012F">
              <w:rPr>
                <w:szCs w:val="20"/>
              </w:rPr>
              <w:t>Projected new cases</w:t>
            </w:r>
            <w:r w:rsidR="001F57A8" w:rsidRPr="005A012F">
              <w:rPr>
                <w:szCs w:val="20"/>
              </w:rPr>
              <w:t xml:space="preserve"> of breast cancer</w:t>
            </w:r>
            <w:r w:rsidRPr="005A012F">
              <w:rPr>
                <w:szCs w:val="20"/>
              </w:rPr>
              <w:t xml:space="preserve"> (2019)</w:t>
            </w:r>
            <w:r w:rsidRPr="005A012F">
              <w:rPr>
                <w:rStyle w:val="FootnoteReference"/>
                <w:szCs w:val="20"/>
              </w:rPr>
              <w:footnoteReference w:id="41"/>
            </w:r>
          </w:p>
        </w:tc>
        <w:tc>
          <w:tcPr>
            <w:tcW w:w="3067" w:type="dxa"/>
          </w:tcPr>
          <w:p w14:paraId="650C8B07" w14:textId="260C473E" w:rsidR="005660A3" w:rsidRPr="001075FB" w:rsidRDefault="001075FB" w:rsidP="005660A3">
            <w:pPr>
              <w:spacing w:before="0" w:after="0"/>
              <w:rPr>
                <w:rFonts w:ascii="Calibri" w:hAnsi="Calibri"/>
                <w:color w:val="000000"/>
                <w:sz w:val="22"/>
              </w:rPr>
            </w:pPr>
            <w:r w:rsidRPr="001075FB">
              <w:rPr>
                <w:szCs w:val="20"/>
              </w:rPr>
              <w:t>18066</w:t>
            </w:r>
          </w:p>
        </w:tc>
      </w:tr>
      <w:tr w:rsidR="005660A3" w:rsidRPr="005A012F" w14:paraId="553A00E9" w14:textId="77777777" w:rsidTr="00D813B7">
        <w:tc>
          <w:tcPr>
            <w:tcW w:w="5589" w:type="dxa"/>
          </w:tcPr>
          <w:p w14:paraId="51000D07" w14:textId="3374F6B3" w:rsidR="005660A3" w:rsidRPr="005A012F" w:rsidRDefault="001F57A8" w:rsidP="005660A3">
            <w:pPr>
              <w:spacing w:before="0" w:after="0"/>
              <w:rPr>
                <w:szCs w:val="20"/>
              </w:rPr>
            </w:pPr>
            <w:r w:rsidRPr="005A012F">
              <w:rPr>
                <w:szCs w:val="20"/>
              </w:rPr>
              <w:t>Proportion HR+/HER2 negative</w:t>
            </w:r>
            <w:r w:rsidR="00BC1DEA">
              <w:rPr>
                <w:rStyle w:val="FootnoteReference"/>
                <w:szCs w:val="20"/>
              </w:rPr>
              <w:footnoteReference w:id="42"/>
            </w:r>
          </w:p>
        </w:tc>
        <w:tc>
          <w:tcPr>
            <w:tcW w:w="3067" w:type="dxa"/>
          </w:tcPr>
          <w:p w14:paraId="0A00A155" w14:textId="66ED2F74" w:rsidR="005660A3" w:rsidRPr="005A012F" w:rsidRDefault="00D813B7" w:rsidP="005660A3">
            <w:pPr>
              <w:spacing w:before="0" w:after="0"/>
              <w:rPr>
                <w:szCs w:val="20"/>
              </w:rPr>
            </w:pPr>
            <w:r w:rsidRPr="005A012F">
              <w:rPr>
                <w:rFonts w:ascii="Calibri" w:hAnsi="Calibri"/>
                <w:color w:val="000000"/>
                <w:szCs w:val="20"/>
              </w:rPr>
              <w:t>63%</w:t>
            </w:r>
          </w:p>
        </w:tc>
      </w:tr>
      <w:tr w:rsidR="005660A3" w:rsidRPr="005A012F" w14:paraId="048CBB4E" w14:textId="77777777" w:rsidTr="00D813B7">
        <w:tc>
          <w:tcPr>
            <w:tcW w:w="5589" w:type="dxa"/>
          </w:tcPr>
          <w:p w14:paraId="2D41CBFA" w14:textId="5477FE9C" w:rsidR="005660A3" w:rsidRPr="005A012F" w:rsidRDefault="001F57A8" w:rsidP="005660A3">
            <w:pPr>
              <w:spacing w:before="0" w:after="0"/>
              <w:rPr>
                <w:szCs w:val="20"/>
              </w:rPr>
            </w:pPr>
            <w:r w:rsidRPr="005A012F">
              <w:rPr>
                <w:szCs w:val="20"/>
              </w:rPr>
              <w:t>Proportion TNBC</w:t>
            </w:r>
            <w:r w:rsidR="00DA568B" w:rsidRPr="00DA568B">
              <w:rPr>
                <w:szCs w:val="20"/>
                <w:vertAlign w:val="superscript"/>
              </w:rPr>
              <w:t>45</w:t>
            </w:r>
          </w:p>
        </w:tc>
        <w:tc>
          <w:tcPr>
            <w:tcW w:w="3067" w:type="dxa"/>
          </w:tcPr>
          <w:p w14:paraId="503B0DC9" w14:textId="065C6E18" w:rsidR="005660A3" w:rsidRPr="005A012F" w:rsidRDefault="00D813B7" w:rsidP="005660A3">
            <w:pPr>
              <w:spacing w:before="0" w:after="0"/>
              <w:rPr>
                <w:szCs w:val="20"/>
              </w:rPr>
            </w:pPr>
            <w:r w:rsidRPr="005A012F">
              <w:rPr>
                <w:szCs w:val="20"/>
              </w:rPr>
              <w:t>17%</w:t>
            </w:r>
          </w:p>
        </w:tc>
      </w:tr>
      <w:tr w:rsidR="005660A3" w:rsidRPr="005A012F" w14:paraId="5FC40E72" w14:textId="77777777" w:rsidTr="00D813B7">
        <w:tc>
          <w:tcPr>
            <w:tcW w:w="5589" w:type="dxa"/>
          </w:tcPr>
          <w:p w14:paraId="25FA464D" w14:textId="0D336852" w:rsidR="005660A3" w:rsidRPr="005A012F" w:rsidRDefault="001F57A8" w:rsidP="005660A3">
            <w:pPr>
              <w:spacing w:before="0" w:after="0"/>
              <w:rPr>
                <w:szCs w:val="20"/>
              </w:rPr>
            </w:pPr>
            <w:r w:rsidRPr="005A012F">
              <w:rPr>
                <w:szCs w:val="20"/>
              </w:rPr>
              <w:t>Proportion with prior treatment with anthracycl</w:t>
            </w:r>
            <w:r w:rsidR="0000053B">
              <w:rPr>
                <w:szCs w:val="20"/>
              </w:rPr>
              <w:t>in</w:t>
            </w:r>
            <w:r w:rsidRPr="005A012F">
              <w:rPr>
                <w:szCs w:val="20"/>
              </w:rPr>
              <w:t>e/</w:t>
            </w:r>
            <w:proofErr w:type="spellStart"/>
            <w:r w:rsidRPr="005A012F">
              <w:rPr>
                <w:szCs w:val="20"/>
              </w:rPr>
              <w:t>taxane</w:t>
            </w:r>
            <w:proofErr w:type="spellEnd"/>
            <w:r w:rsidR="00D813B7" w:rsidRPr="005A012F">
              <w:rPr>
                <w:szCs w:val="20"/>
              </w:rPr>
              <w:t xml:space="preserve"> and not suitable for hormone therapy</w:t>
            </w:r>
            <w:r w:rsidR="0000053B">
              <w:rPr>
                <w:szCs w:val="20"/>
              </w:rPr>
              <w:t>*</w:t>
            </w:r>
          </w:p>
        </w:tc>
        <w:tc>
          <w:tcPr>
            <w:tcW w:w="3067" w:type="dxa"/>
          </w:tcPr>
          <w:p w14:paraId="0D67BCD6" w14:textId="5154D557" w:rsidR="005660A3" w:rsidRPr="005A012F" w:rsidRDefault="00D813B7" w:rsidP="005660A3">
            <w:pPr>
              <w:spacing w:before="0" w:after="0"/>
              <w:rPr>
                <w:szCs w:val="20"/>
              </w:rPr>
            </w:pPr>
            <w:r w:rsidRPr="005A012F">
              <w:rPr>
                <w:szCs w:val="20"/>
              </w:rPr>
              <w:t>80%</w:t>
            </w:r>
          </w:p>
        </w:tc>
      </w:tr>
      <w:tr w:rsidR="005660A3" w:rsidRPr="005A012F" w14:paraId="1C0E7100" w14:textId="77777777" w:rsidTr="00D813B7">
        <w:tc>
          <w:tcPr>
            <w:tcW w:w="5589" w:type="dxa"/>
          </w:tcPr>
          <w:p w14:paraId="4014C4C4" w14:textId="1317326E" w:rsidR="005660A3" w:rsidRPr="005A012F" w:rsidRDefault="00D06D92" w:rsidP="005660A3">
            <w:pPr>
              <w:spacing w:before="0" w:after="0"/>
              <w:rPr>
                <w:szCs w:val="20"/>
              </w:rPr>
            </w:pPr>
            <w:r w:rsidRPr="005A012F">
              <w:rPr>
                <w:szCs w:val="20"/>
              </w:rPr>
              <w:t>Uptake rate of BRCA test</w:t>
            </w:r>
            <w:r w:rsidR="00D813B7" w:rsidRPr="005A012F">
              <w:rPr>
                <w:szCs w:val="20"/>
              </w:rPr>
              <w:t xml:space="preserve"> in HR+/HER2 negative population</w:t>
            </w:r>
            <w:r w:rsidR="006F0F6F">
              <w:rPr>
                <w:szCs w:val="20"/>
              </w:rPr>
              <w:t xml:space="preserve"> at Year 1, Year 2, Year 3</w:t>
            </w:r>
            <w:r w:rsidR="0000053B">
              <w:rPr>
                <w:szCs w:val="20"/>
              </w:rPr>
              <w:t>*</w:t>
            </w:r>
          </w:p>
        </w:tc>
        <w:tc>
          <w:tcPr>
            <w:tcW w:w="3067" w:type="dxa"/>
          </w:tcPr>
          <w:p w14:paraId="77CD5A4F" w14:textId="26185313" w:rsidR="005660A3" w:rsidRPr="005A012F" w:rsidRDefault="00D813B7" w:rsidP="005660A3">
            <w:pPr>
              <w:spacing w:before="0" w:after="0"/>
              <w:rPr>
                <w:szCs w:val="20"/>
              </w:rPr>
            </w:pPr>
            <w:r w:rsidRPr="005A012F">
              <w:rPr>
                <w:szCs w:val="20"/>
              </w:rPr>
              <w:t>30%, 40%, 50%</w:t>
            </w:r>
          </w:p>
        </w:tc>
      </w:tr>
      <w:tr w:rsidR="00D813B7" w:rsidRPr="005A012F" w14:paraId="4D2EE3E2" w14:textId="77777777" w:rsidTr="00D813B7">
        <w:tc>
          <w:tcPr>
            <w:tcW w:w="5589" w:type="dxa"/>
          </w:tcPr>
          <w:p w14:paraId="46B9782B" w14:textId="4167189C" w:rsidR="00D813B7" w:rsidRPr="005A012F" w:rsidRDefault="00D813B7" w:rsidP="005660A3">
            <w:pPr>
              <w:spacing w:before="0" w:after="0"/>
              <w:rPr>
                <w:szCs w:val="20"/>
              </w:rPr>
            </w:pPr>
            <w:r w:rsidRPr="005A012F">
              <w:rPr>
                <w:szCs w:val="20"/>
              </w:rPr>
              <w:t>Uptake rate of BRCA test</w:t>
            </w:r>
            <w:r w:rsidR="003007FE">
              <w:rPr>
                <w:szCs w:val="20"/>
              </w:rPr>
              <w:t xml:space="preserve"> in TNBC </w:t>
            </w:r>
            <w:r w:rsidRPr="005A012F">
              <w:rPr>
                <w:szCs w:val="20"/>
              </w:rPr>
              <w:t>population</w:t>
            </w:r>
            <w:r w:rsidR="006F0F6F">
              <w:rPr>
                <w:szCs w:val="20"/>
              </w:rPr>
              <w:t xml:space="preserve"> at Year 1, Year 2, Year 3</w:t>
            </w:r>
            <w:r w:rsidR="0000053B">
              <w:rPr>
                <w:szCs w:val="20"/>
              </w:rPr>
              <w:t>*</w:t>
            </w:r>
          </w:p>
        </w:tc>
        <w:tc>
          <w:tcPr>
            <w:tcW w:w="3067" w:type="dxa"/>
          </w:tcPr>
          <w:p w14:paraId="5443EED9" w14:textId="0588ED2F" w:rsidR="00D813B7" w:rsidRPr="005A012F" w:rsidRDefault="00F168B0" w:rsidP="005660A3">
            <w:pPr>
              <w:spacing w:before="0" w:after="0"/>
              <w:rPr>
                <w:szCs w:val="20"/>
              </w:rPr>
            </w:pPr>
            <w:r>
              <w:rPr>
                <w:szCs w:val="20"/>
              </w:rPr>
              <w:t>60%, 75%, 80</w:t>
            </w:r>
            <w:r w:rsidR="00D813B7" w:rsidRPr="005A012F">
              <w:rPr>
                <w:szCs w:val="20"/>
              </w:rPr>
              <w:t>%</w:t>
            </w:r>
          </w:p>
        </w:tc>
      </w:tr>
    </w:tbl>
    <w:p w14:paraId="52D2AA02" w14:textId="32A82BF3" w:rsidR="0000053B" w:rsidRDefault="0000053B" w:rsidP="00A34959">
      <w:pPr>
        <w:pStyle w:val="Heading2"/>
        <w:numPr>
          <w:ilvl w:val="0"/>
          <w:numId w:val="0"/>
        </w:numPr>
        <w:ind w:left="720" w:hanging="360"/>
        <w:rPr>
          <w:b w:val="0"/>
          <w:sz w:val="18"/>
          <w:szCs w:val="18"/>
        </w:rPr>
      </w:pPr>
      <w:r w:rsidRPr="0000053B">
        <w:rPr>
          <w:sz w:val="18"/>
          <w:szCs w:val="18"/>
        </w:rPr>
        <w:t>*</w:t>
      </w:r>
      <w:r w:rsidRPr="0000053B">
        <w:rPr>
          <w:b w:val="0"/>
          <w:sz w:val="18"/>
          <w:szCs w:val="18"/>
        </w:rPr>
        <w:t>Assumption based on internal market research</w:t>
      </w:r>
    </w:p>
    <w:p w14:paraId="78AACD29" w14:textId="77777777" w:rsidR="00830001" w:rsidRPr="00830001" w:rsidRDefault="00830001" w:rsidP="00830001"/>
    <w:p w14:paraId="3C9D2E00" w14:textId="0FC0005C" w:rsidR="00382407" w:rsidRPr="00154B00" w:rsidRDefault="00382407" w:rsidP="0000053B">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74FA953B" w14:textId="7442175A" w:rsidR="000312A7" w:rsidRPr="00154B00" w:rsidRDefault="001C3EF0" w:rsidP="002A6052">
      <w:pPr>
        <w:ind w:left="426"/>
        <w:jc w:val="both"/>
        <w:rPr>
          <w:szCs w:val="20"/>
        </w:rPr>
      </w:pPr>
      <w:r>
        <w:t xml:space="preserve">It is proposed that </w:t>
      </w:r>
      <w:r w:rsidRPr="001C3EF0">
        <w:rPr>
          <w:i/>
        </w:rPr>
        <w:t>BRCA</w:t>
      </w:r>
      <w:r>
        <w:t xml:space="preserve"> testing would be delivered once to a patient to determine their eligibility to </w:t>
      </w:r>
      <w:proofErr w:type="spellStart"/>
      <w:r>
        <w:t>olaparib</w:t>
      </w:r>
      <w:proofErr w:type="spellEnd"/>
      <w:r>
        <w:t xml:space="preserve"> treatment. </w:t>
      </w:r>
      <w:r w:rsidR="000312A7">
        <w:t xml:space="preserve">One lifetime germline </w:t>
      </w:r>
      <w:r w:rsidR="000312A7" w:rsidRPr="001C3EF0">
        <w:rPr>
          <w:i/>
        </w:rPr>
        <w:t>BRCA</w:t>
      </w:r>
      <w:r w:rsidR="000312A7" w:rsidRPr="002A6052">
        <w:t xml:space="preserve"> </w:t>
      </w:r>
      <w:r w:rsidR="000312A7">
        <w:t>mutation test is required per patient</w:t>
      </w:r>
      <w:r>
        <w:t>.</w:t>
      </w:r>
    </w:p>
    <w:p w14:paraId="4C3BF377"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2F7FFF6" w14:textId="146E994C" w:rsidR="00382407" w:rsidRPr="000312A7" w:rsidRDefault="001C3EF0" w:rsidP="002A6052">
      <w:pPr>
        <w:ind w:left="426"/>
        <w:jc w:val="both"/>
        <w:rPr>
          <w:szCs w:val="20"/>
        </w:rPr>
      </w:pPr>
      <w:r w:rsidRPr="001C3EF0">
        <w:rPr>
          <w:i/>
        </w:rPr>
        <w:t>BRCA</w:t>
      </w:r>
      <w:r>
        <w:t xml:space="preserve"> mutation test is not required for routine monitoring of a breast cancer patient. </w:t>
      </w:r>
      <w:r w:rsidR="000312A7">
        <w:t xml:space="preserve">One lifetime germline </w:t>
      </w:r>
      <w:r w:rsidR="000312A7" w:rsidRPr="001C3EF0">
        <w:rPr>
          <w:i/>
        </w:rPr>
        <w:t xml:space="preserve">BRCA </w:t>
      </w:r>
      <w:r w:rsidR="000312A7">
        <w:t>mutation test is required per patient</w:t>
      </w:r>
    </w:p>
    <w:p w14:paraId="6F235123"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95015A4" w14:textId="4CEA252B" w:rsidR="000C1F51" w:rsidRDefault="00B845C8" w:rsidP="002A6052">
      <w:pPr>
        <w:ind w:left="426"/>
        <w:jc w:val="both"/>
        <w:rPr>
          <w:rFonts w:ascii="Calibri" w:hAnsi="Calibri"/>
          <w:color w:val="000000"/>
          <w:szCs w:val="20"/>
        </w:rPr>
      </w:pPr>
      <w:r>
        <w:t>The projected number of patients estimated to utilise g</w:t>
      </w:r>
      <w:r w:rsidR="002A6052">
        <w:t xml:space="preserve">ermline </w:t>
      </w:r>
      <w:proofErr w:type="spellStart"/>
      <w:r w:rsidR="00385B8A" w:rsidRPr="002A6052">
        <w:rPr>
          <w:i/>
        </w:rPr>
        <w:t>BRCA</w:t>
      </w:r>
      <w:r>
        <w:t>m</w:t>
      </w:r>
      <w:proofErr w:type="spellEnd"/>
      <w:r>
        <w:t xml:space="preserve"> test is based on the </w:t>
      </w:r>
      <w:r w:rsidR="00A61316">
        <w:t xml:space="preserve">number of patients </w:t>
      </w:r>
      <w:r w:rsidR="00AE6BBC">
        <w:t>newly diag</w:t>
      </w:r>
      <w:r>
        <w:t>nosed with bre</w:t>
      </w:r>
      <w:r w:rsidR="00AE6BBC">
        <w:t>a</w:t>
      </w:r>
      <w:r>
        <w:t xml:space="preserve">st cancer per year i.e. approximately </w:t>
      </w:r>
      <w:r w:rsidR="009D29B5">
        <w:t>18066</w:t>
      </w:r>
      <w:r>
        <w:rPr>
          <w:rFonts w:ascii="Calibri" w:hAnsi="Calibri"/>
          <w:color w:val="000000"/>
          <w:szCs w:val="20"/>
        </w:rPr>
        <w:t xml:space="preserve">. </w:t>
      </w:r>
      <w:r w:rsidR="00AE6BBC">
        <w:rPr>
          <w:rFonts w:ascii="Calibri" w:hAnsi="Calibri"/>
          <w:color w:val="000000"/>
          <w:szCs w:val="20"/>
        </w:rPr>
        <w:t xml:space="preserve">Germline </w:t>
      </w:r>
      <w:proofErr w:type="spellStart"/>
      <w:r w:rsidRPr="002A6052">
        <w:rPr>
          <w:rFonts w:ascii="Calibri" w:hAnsi="Calibri"/>
          <w:i/>
          <w:color w:val="000000"/>
          <w:szCs w:val="20"/>
        </w:rPr>
        <w:t>BR</w:t>
      </w:r>
      <w:r w:rsidR="00AE6BBC" w:rsidRPr="002A6052">
        <w:rPr>
          <w:rFonts w:ascii="Calibri" w:hAnsi="Calibri"/>
          <w:i/>
          <w:color w:val="000000"/>
          <w:szCs w:val="20"/>
        </w:rPr>
        <w:t>CA</w:t>
      </w:r>
      <w:r w:rsidR="00AE6BBC">
        <w:rPr>
          <w:rFonts w:ascii="Calibri" w:hAnsi="Calibri"/>
          <w:color w:val="000000"/>
          <w:szCs w:val="20"/>
        </w:rPr>
        <w:t>m</w:t>
      </w:r>
      <w:proofErr w:type="spellEnd"/>
      <w:r w:rsidR="00AE6BBC">
        <w:rPr>
          <w:rFonts w:ascii="Calibri" w:hAnsi="Calibri"/>
          <w:color w:val="000000"/>
          <w:szCs w:val="20"/>
        </w:rPr>
        <w:t xml:space="preserve"> </w:t>
      </w:r>
      <w:r>
        <w:rPr>
          <w:rFonts w:ascii="Calibri" w:hAnsi="Calibri"/>
          <w:color w:val="000000"/>
          <w:szCs w:val="20"/>
        </w:rPr>
        <w:t>te</w:t>
      </w:r>
      <w:r w:rsidR="00AE6BBC">
        <w:rPr>
          <w:rFonts w:ascii="Calibri" w:hAnsi="Calibri"/>
          <w:color w:val="000000"/>
          <w:szCs w:val="20"/>
        </w:rPr>
        <w:t>s</w:t>
      </w:r>
      <w:r>
        <w:rPr>
          <w:rFonts w:ascii="Calibri" w:hAnsi="Calibri"/>
          <w:color w:val="000000"/>
          <w:szCs w:val="20"/>
        </w:rPr>
        <w:t>t is most likely to be offered to patients who are HER2 negative (includes the HR+ and TNBC popul</w:t>
      </w:r>
      <w:r w:rsidR="00AE6BBC">
        <w:rPr>
          <w:rFonts w:ascii="Calibri" w:hAnsi="Calibri"/>
          <w:color w:val="000000"/>
          <w:szCs w:val="20"/>
        </w:rPr>
        <w:t xml:space="preserve">ation) and who are </w:t>
      </w:r>
      <w:r>
        <w:rPr>
          <w:rFonts w:ascii="Calibri" w:hAnsi="Calibri"/>
          <w:color w:val="000000"/>
          <w:szCs w:val="20"/>
        </w:rPr>
        <w:t>refractory to anthracycline/</w:t>
      </w:r>
      <w:proofErr w:type="spellStart"/>
      <w:r>
        <w:rPr>
          <w:rFonts w:ascii="Calibri" w:hAnsi="Calibri"/>
          <w:color w:val="000000"/>
          <w:szCs w:val="20"/>
        </w:rPr>
        <w:t>taxane</w:t>
      </w:r>
      <w:proofErr w:type="spellEnd"/>
      <w:r>
        <w:rPr>
          <w:rFonts w:ascii="Calibri" w:hAnsi="Calibri"/>
          <w:color w:val="000000"/>
          <w:szCs w:val="20"/>
        </w:rPr>
        <w:t xml:space="preserve"> therapy.</w:t>
      </w:r>
      <w:r w:rsidR="000C1F51">
        <w:rPr>
          <w:rFonts w:ascii="Calibri" w:hAnsi="Calibri"/>
          <w:color w:val="000000"/>
          <w:szCs w:val="20"/>
        </w:rPr>
        <w:t xml:space="preserve"> </w:t>
      </w:r>
    </w:p>
    <w:p w14:paraId="38ECA493" w14:textId="64B7BAC9" w:rsidR="00AE1188" w:rsidRDefault="000C1F51" w:rsidP="002A6052">
      <w:pPr>
        <w:ind w:left="426"/>
        <w:jc w:val="both"/>
        <w:rPr>
          <w:rFonts w:ascii="Calibri" w:hAnsi="Calibri"/>
          <w:color w:val="000000"/>
          <w:szCs w:val="20"/>
        </w:rPr>
      </w:pPr>
      <w:r>
        <w:rPr>
          <w:rFonts w:ascii="Calibri" w:hAnsi="Calibri"/>
          <w:color w:val="000000"/>
          <w:szCs w:val="20"/>
        </w:rPr>
        <w:t>The estimated number of eligible patients who will utilise g</w:t>
      </w:r>
      <w:r w:rsidR="002A6052">
        <w:rPr>
          <w:rFonts w:ascii="Calibri" w:hAnsi="Calibri"/>
          <w:color w:val="000000"/>
          <w:szCs w:val="20"/>
        </w:rPr>
        <w:t xml:space="preserve">ermline </w:t>
      </w:r>
      <w:proofErr w:type="spellStart"/>
      <w:r w:rsidRPr="002A6052">
        <w:rPr>
          <w:rFonts w:ascii="Calibri" w:hAnsi="Calibri"/>
          <w:i/>
          <w:color w:val="000000"/>
          <w:szCs w:val="20"/>
        </w:rPr>
        <w:t>BRCA</w:t>
      </w:r>
      <w:r>
        <w:rPr>
          <w:rFonts w:ascii="Calibri" w:hAnsi="Calibri"/>
          <w:color w:val="000000"/>
          <w:szCs w:val="20"/>
        </w:rPr>
        <w:t>m</w:t>
      </w:r>
      <w:proofErr w:type="spellEnd"/>
      <w:r>
        <w:rPr>
          <w:rFonts w:ascii="Calibri" w:hAnsi="Calibri"/>
          <w:color w:val="000000"/>
          <w:szCs w:val="20"/>
        </w:rPr>
        <w:t xml:space="preserve"> test in 2019 is 3960.</w:t>
      </w:r>
    </w:p>
    <w:p w14:paraId="63FBFD1B" w14:textId="14D02A3C" w:rsidR="00A61316" w:rsidRDefault="00CD2320" w:rsidP="00A34959">
      <w:pPr>
        <w:ind w:left="426"/>
        <w:rPr>
          <w:rFonts w:ascii="Calibri" w:hAnsi="Calibri"/>
          <w:color w:val="000000"/>
          <w:szCs w:val="20"/>
        </w:rPr>
      </w:pPr>
      <w:r>
        <w:rPr>
          <w:rFonts w:ascii="Calibri" w:hAnsi="Calibri"/>
          <w:color w:val="000000"/>
          <w:szCs w:val="20"/>
        </w:rPr>
        <w:lastRenderedPageBreak/>
        <w:t xml:space="preserve">Refer to </w:t>
      </w:r>
      <w:r w:rsidRPr="002A6052">
        <w:rPr>
          <w:rFonts w:ascii="Calibri" w:hAnsi="Calibri"/>
          <w:b/>
          <w:color w:val="000000"/>
          <w:szCs w:val="20"/>
        </w:rPr>
        <w:fldChar w:fldCharType="begin"/>
      </w:r>
      <w:r w:rsidRPr="002A6052">
        <w:rPr>
          <w:rFonts w:ascii="Calibri" w:hAnsi="Calibri"/>
          <w:b/>
          <w:color w:val="000000"/>
          <w:szCs w:val="20"/>
        </w:rPr>
        <w:instrText xml:space="preserve"> REF _Ref487028652 \h </w:instrText>
      </w:r>
      <w:r w:rsidR="002A6052">
        <w:rPr>
          <w:rFonts w:ascii="Calibri" w:hAnsi="Calibri"/>
          <w:b/>
          <w:color w:val="000000"/>
          <w:szCs w:val="20"/>
        </w:rPr>
        <w:instrText xml:space="preserve"> \* MERGEFORMAT </w:instrText>
      </w:r>
      <w:r w:rsidRPr="002A6052">
        <w:rPr>
          <w:rFonts w:ascii="Calibri" w:hAnsi="Calibri"/>
          <w:b/>
          <w:color w:val="000000"/>
          <w:szCs w:val="20"/>
        </w:rPr>
      </w:r>
      <w:r w:rsidRPr="002A6052">
        <w:rPr>
          <w:rFonts w:ascii="Calibri" w:hAnsi="Calibri"/>
          <w:b/>
          <w:color w:val="000000"/>
          <w:szCs w:val="20"/>
        </w:rPr>
        <w:fldChar w:fldCharType="separate"/>
      </w:r>
      <w:r w:rsidRPr="002A6052">
        <w:rPr>
          <w:b/>
          <w:sz w:val="18"/>
        </w:rPr>
        <w:t>Table 2</w:t>
      </w:r>
      <w:r w:rsidRPr="002A6052">
        <w:rPr>
          <w:rFonts w:ascii="Calibri" w:hAnsi="Calibri"/>
          <w:b/>
          <w:color w:val="000000"/>
          <w:szCs w:val="20"/>
        </w:rPr>
        <w:fldChar w:fldCharType="end"/>
      </w:r>
      <w:r>
        <w:rPr>
          <w:rFonts w:ascii="Calibri" w:hAnsi="Calibri"/>
          <w:color w:val="000000"/>
          <w:szCs w:val="20"/>
        </w:rPr>
        <w:t xml:space="preserve"> below</w:t>
      </w:r>
      <w:r w:rsidR="00385B8A">
        <w:rPr>
          <w:rFonts w:ascii="Calibri" w:hAnsi="Calibri"/>
          <w:color w:val="000000"/>
          <w:szCs w:val="20"/>
        </w:rPr>
        <w:t xml:space="preserve"> </w:t>
      </w:r>
      <w:r>
        <w:rPr>
          <w:rFonts w:ascii="Calibri" w:hAnsi="Calibri"/>
          <w:color w:val="000000"/>
          <w:szCs w:val="20"/>
        </w:rPr>
        <w:t xml:space="preserve">for the </w:t>
      </w:r>
      <w:r w:rsidR="00A34959">
        <w:rPr>
          <w:rFonts w:ascii="Calibri" w:hAnsi="Calibri"/>
          <w:color w:val="000000"/>
          <w:szCs w:val="20"/>
        </w:rPr>
        <w:t>calculation of this estimation.</w:t>
      </w:r>
    </w:p>
    <w:p w14:paraId="1C156F00" w14:textId="6EC674B8" w:rsidR="00A61316" w:rsidRPr="00AE6BBC" w:rsidRDefault="00A61316" w:rsidP="00AE6BBC">
      <w:pPr>
        <w:pStyle w:val="Caption"/>
        <w:ind w:left="360"/>
        <w:rPr>
          <w:rFonts w:asciiTheme="minorHAnsi" w:hAnsiTheme="minorHAnsi"/>
          <w:sz w:val="18"/>
        </w:rPr>
      </w:pPr>
      <w:bookmarkStart w:id="5" w:name="_Ref487028652"/>
      <w:r w:rsidRPr="00AE6BBC">
        <w:rPr>
          <w:rFonts w:asciiTheme="minorHAnsi" w:hAnsiTheme="minorHAnsi"/>
          <w:sz w:val="18"/>
        </w:rPr>
        <w:t xml:space="preserve">Table </w:t>
      </w:r>
      <w:r w:rsidRPr="00AE6BBC">
        <w:rPr>
          <w:rFonts w:asciiTheme="minorHAnsi" w:hAnsiTheme="minorHAnsi"/>
          <w:sz w:val="18"/>
        </w:rPr>
        <w:fldChar w:fldCharType="begin"/>
      </w:r>
      <w:r w:rsidRPr="00AE6BBC">
        <w:rPr>
          <w:rFonts w:asciiTheme="minorHAnsi" w:hAnsiTheme="minorHAnsi"/>
          <w:sz w:val="18"/>
        </w:rPr>
        <w:instrText xml:space="preserve"> SEQ Table \* ARABIC </w:instrText>
      </w:r>
      <w:r w:rsidRPr="00AE6BBC">
        <w:rPr>
          <w:rFonts w:asciiTheme="minorHAnsi" w:hAnsiTheme="minorHAnsi"/>
          <w:sz w:val="18"/>
        </w:rPr>
        <w:fldChar w:fldCharType="separate"/>
      </w:r>
      <w:r w:rsidRPr="00AE6BBC">
        <w:rPr>
          <w:rFonts w:asciiTheme="minorHAnsi" w:hAnsiTheme="minorHAnsi"/>
          <w:sz w:val="18"/>
        </w:rPr>
        <w:t>2</w:t>
      </w:r>
      <w:r w:rsidRPr="00AE6BBC">
        <w:rPr>
          <w:rFonts w:asciiTheme="minorHAnsi" w:hAnsiTheme="minorHAnsi"/>
          <w:sz w:val="18"/>
        </w:rPr>
        <w:fldChar w:fldCharType="end"/>
      </w:r>
      <w:bookmarkEnd w:id="5"/>
      <w:r w:rsidRPr="00AE6BBC">
        <w:rPr>
          <w:rFonts w:asciiTheme="minorHAnsi" w:hAnsiTheme="minorHAnsi"/>
          <w:sz w:val="18"/>
        </w:rPr>
        <w:t xml:space="preserve"> Estimated number of patients estimated to utilise </w:t>
      </w:r>
      <w:proofErr w:type="spellStart"/>
      <w:r w:rsidRPr="00AE6BBC">
        <w:rPr>
          <w:rFonts w:asciiTheme="minorHAnsi" w:hAnsiTheme="minorHAnsi"/>
          <w:sz w:val="18"/>
        </w:rPr>
        <w:t>gBRCAm</w:t>
      </w:r>
      <w:proofErr w:type="spellEnd"/>
      <w:r w:rsidRPr="00AE6BBC">
        <w:rPr>
          <w:rFonts w:asciiTheme="minorHAnsi" w:hAnsiTheme="minorHAnsi"/>
          <w:sz w:val="18"/>
        </w:rPr>
        <w:t xml:space="preserve"> test in Year 1 of listing</w:t>
      </w:r>
    </w:p>
    <w:tbl>
      <w:tblPr>
        <w:tblStyle w:val="TableGrid"/>
        <w:tblW w:w="0" w:type="auto"/>
        <w:tblInd w:w="426" w:type="dxa"/>
        <w:tblLook w:val="04A0" w:firstRow="1" w:lastRow="0" w:firstColumn="1" w:lastColumn="0" w:noHBand="0" w:noVBand="1"/>
        <w:tblCaption w:val="Table showing Estimated number of patients estimated to utilise gBRCAm test in Year 1 of listing"/>
      </w:tblPr>
      <w:tblGrid>
        <w:gridCol w:w="6373"/>
        <w:gridCol w:w="2217"/>
      </w:tblGrid>
      <w:tr w:rsidR="00A61316" w14:paraId="4E7B792D" w14:textId="77777777" w:rsidTr="001F14C5">
        <w:trPr>
          <w:tblHeader/>
        </w:trPr>
        <w:tc>
          <w:tcPr>
            <w:tcW w:w="6373" w:type="dxa"/>
          </w:tcPr>
          <w:p w14:paraId="2B805455" w14:textId="77777777" w:rsidR="00A61316" w:rsidRDefault="00A61316" w:rsidP="00A61316">
            <w:pPr>
              <w:spacing w:before="0" w:after="0"/>
              <w:rPr>
                <w:szCs w:val="20"/>
              </w:rPr>
            </w:pPr>
          </w:p>
        </w:tc>
        <w:tc>
          <w:tcPr>
            <w:tcW w:w="2217" w:type="dxa"/>
          </w:tcPr>
          <w:p w14:paraId="753006A2" w14:textId="6078C5CF" w:rsidR="00A61316" w:rsidRPr="00385B8A" w:rsidRDefault="00AE6BBC" w:rsidP="00385B8A">
            <w:pPr>
              <w:spacing w:before="0" w:after="0"/>
              <w:jc w:val="center"/>
              <w:rPr>
                <w:b/>
                <w:szCs w:val="20"/>
              </w:rPr>
            </w:pPr>
            <w:r w:rsidRPr="00385B8A">
              <w:rPr>
                <w:b/>
                <w:szCs w:val="20"/>
              </w:rPr>
              <w:t>Year 1 (2019)</w:t>
            </w:r>
          </w:p>
        </w:tc>
      </w:tr>
      <w:tr w:rsidR="00AE6BBC" w14:paraId="068583F6" w14:textId="77777777" w:rsidTr="00521312">
        <w:tc>
          <w:tcPr>
            <w:tcW w:w="6373" w:type="dxa"/>
          </w:tcPr>
          <w:p w14:paraId="71E484CB" w14:textId="61836406" w:rsidR="00AE6BBC" w:rsidRDefault="00AE6BBC" w:rsidP="00AE6BBC">
            <w:pPr>
              <w:spacing w:before="0" w:after="0"/>
              <w:rPr>
                <w:szCs w:val="20"/>
              </w:rPr>
            </w:pPr>
            <w:r w:rsidRPr="005A012F">
              <w:rPr>
                <w:szCs w:val="20"/>
              </w:rPr>
              <w:t>Projected new cases of breast cancer</w:t>
            </w:r>
            <w:r w:rsidR="00CD2320">
              <w:rPr>
                <w:szCs w:val="20"/>
              </w:rPr>
              <w:t xml:space="preserve"> </w:t>
            </w:r>
            <w:r w:rsidRPr="005A012F">
              <w:rPr>
                <w:szCs w:val="20"/>
              </w:rPr>
              <w:t>(2019)</w:t>
            </w:r>
            <w:r w:rsidRPr="005A012F">
              <w:rPr>
                <w:rStyle w:val="FootnoteReference"/>
                <w:szCs w:val="20"/>
              </w:rPr>
              <w:footnoteReference w:id="43"/>
            </w:r>
          </w:p>
        </w:tc>
        <w:tc>
          <w:tcPr>
            <w:tcW w:w="2217" w:type="dxa"/>
          </w:tcPr>
          <w:p w14:paraId="66C74A98" w14:textId="3987368C" w:rsidR="00AE6BBC" w:rsidRPr="009D29B5" w:rsidRDefault="001075FB" w:rsidP="00385B8A">
            <w:pPr>
              <w:spacing w:before="0" w:after="0"/>
              <w:jc w:val="center"/>
              <w:rPr>
                <w:rFonts w:ascii="Calibri" w:hAnsi="Calibri"/>
                <w:color w:val="000000"/>
                <w:szCs w:val="20"/>
              </w:rPr>
            </w:pPr>
            <w:r w:rsidRPr="009D29B5">
              <w:rPr>
                <w:rFonts w:ascii="Calibri" w:hAnsi="Calibri"/>
                <w:color w:val="000000"/>
                <w:szCs w:val="20"/>
              </w:rPr>
              <w:t>18066</w:t>
            </w:r>
          </w:p>
        </w:tc>
      </w:tr>
      <w:tr w:rsidR="00AE6BBC" w14:paraId="261D4554" w14:textId="77777777" w:rsidTr="00521312">
        <w:tc>
          <w:tcPr>
            <w:tcW w:w="6373" w:type="dxa"/>
          </w:tcPr>
          <w:p w14:paraId="418398FB" w14:textId="1F0D9244" w:rsidR="00521312" w:rsidRDefault="001075FB" w:rsidP="00AE6BBC">
            <w:pPr>
              <w:spacing w:before="0" w:after="0"/>
              <w:rPr>
                <w:szCs w:val="20"/>
              </w:rPr>
            </w:pPr>
            <w:r>
              <w:rPr>
                <w:szCs w:val="20"/>
              </w:rPr>
              <w:t>E</w:t>
            </w:r>
            <w:r w:rsidR="00521312">
              <w:rPr>
                <w:szCs w:val="20"/>
              </w:rPr>
              <w:t xml:space="preserve">stimated number of </w:t>
            </w:r>
            <w:r w:rsidR="00AE6BBC" w:rsidRPr="000C1F51">
              <w:rPr>
                <w:szCs w:val="20"/>
              </w:rPr>
              <w:t>HR+/HER2</w:t>
            </w:r>
            <w:r w:rsidR="00AE6BBC" w:rsidRPr="005A012F">
              <w:rPr>
                <w:szCs w:val="20"/>
              </w:rPr>
              <w:t xml:space="preserve"> negative</w:t>
            </w:r>
            <w:r>
              <w:rPr>
                <w:szCs w:val="20"/>
              </w:rPr>
              <w:t xml:space="preserve"> </w:t>
            </w:r>
            <w:r w:rsidR="00521312">
              <w:rPr>
                <w:szCs w:val="20"/>
              </w:rPr>
              <w:t xml:space="preserve">patients treated with prior </w:t>
            </w:r>
            <w:r w:rsidR="00521312" w:rsidRPr="005A012F">
              <w:rPr>
                <w:szCs w:val="20"/>
              </w:rPr>
              <w:t>anthracycl</w:t>
            </w:r>
            <w:r w:rsidR="00521312">
              <w:rPr>
                <w:szCs w:val="20"/>
              </w:rPr>
              <w:t>in</w:t>
            </w:r>
            <w:r w:rsidR="00521312" w:rsidRPr="005A012F">
              <w:rPr>
                <w:szCs w:val="20"/>
              </w:rPr>
              <w:t>e/</w:t>
            </w:r>
            <w:proofErr w:type="spellStart"/>
            <w:r w:rsidR="00521312" w:rsidRPr="005A012F">
              <w:rPr>
                <w:szCs w:val="20"/>
              </w:rPr>
              <w:t>taxane</w:t>
            </w:r>
            <w:r w:rsidR="00521312">
              <w:rPr>
                <w:szCs w:val="20"/>
              </w:rPr>
              <w:t>s</w:t>
            </w:r>
            <w:proofErr w:type="spellEnd"/>
            <w:r w:rsidR="00521312" w:rsidRPr="005A012F">
              <w:rPr>
                <w:szCs w:val="20"/>
              </w:rPr>
              <w:t xml:space="preserve"> and not suitable for hormone therapy</w:t>
            </w:r>
            <w:r w:rsidR="00521312">
              <w:rPr>
                <w:szCs w:val="20"/>
              </w:rPr>
              <w:t xml:space="preserve"> </w:t>
            </w:r>
          </w:p>
          <w:p w14:paraId="4B242692" w14:textId="4702BF20" w:rsidR="00AE6BBC" w:rsidRDefault="001075FB" w:rsidP="00AE6BBC">
            <w:pPr>
              <w:spacing w:before="0" w:after="0"/>
              <w:rPr>
                <w:szCs w:val="20"/>
              </w:rPr>
            </w:pPr>
            <w:r>
              <w:rPr>
                <w:szCs w:val="20"/>
              </w:rPr>
              <w:t>(</w:t>
            </w:r>
            <w:r w:rsidR="009D29B5">
              <w:rPr>
                <w:rFonts w:ascii="Calibri" w:hAnsi="Calibri"/>
                <w:color w:val="000000"/>
                <w:szCs w:val="20"/>
              </w:rPr>
              <w:t>18066</w:t>
            </w:r>
            <w:r>
              <w:rPr>
                <w:rFonts w:ascii="Calibri" w:hAnsi="Calibri"/>
                <w:color w:val="000000"/>
                <w:szCs w:val="20"/>
              </w:rPr>
              <w:t xml:space="preserve"> x 63%</w:t>
            </w:r>
            <w:r w:rsidR="00521312">
              <w:rPr>
                <w:rFonts w:ascii="Calibri" w:hAnsi="Calibri"/>
                <w:color w:val="000000"/>
                <w:szCs w:val="20"/>
              </w:rPr>
              <w:t xml:space="preserve"> x 80%</w:t>
            </w:r>
            <w:r>
              <w:rPr>
                <w:rFonts w:ascii="Calibri" w:hAnsi="Calibri"/>
                <w:color w:val="000000"/>
                <w:szCs w:val="20"/>
              </w:rPr>
              <w:t>)</w:t>
            </w:r>
          </w:p>
        </w:tc>
        <w:tc>
          <w:tcPr>
            <w:tcW w:w="2217" w:type="dxa"/>
          </w:tcPr>
          <w:p w14:paraId="44E87D57" w14:textId="4C3E5C07" w:rsidR="00AE6BBC" w:rsidRDefault="00521312" w:rsidP="00385B8A">
            <w:pPr>
              <w:spacing w:before="0" w:after="0"/>
              <w:jc w:val="center"/>
              <w:rPr>
                <w:szCs w:val="20"/>
              </w:rPr>
            </w:pPr>
            <w:r>
              <w:rPr>
                <w:szCs w:val="20"/>
              </w:rPr>
              <w:t>9105</w:t>
            </w:r>
          </w:p>
        </w:tc>
      </w:tr>
      <w:tr w:rsidR="00AE6BBC" w14:paraId="191D0691" w14:textId="77777777" w:rsidTr="00521312">
        <w:tc>
          <w:tcPr>
            <w:tcW w:w="6373" w:type="dxa"/>
          </w:tcPr>
          <w:p w14:paraId="4BF96F5F" w14:textId="1A37B5CC" w:rsidR="00AE6BBC" w:rsidRDefault="001075FB" w:rsidP="00AE6BBC">
            <w:pPr>
              <w:spacing w:before="0" w:after="0"/>
              <w:rPr>
                <w:szCs w:val="20"/>
              </w:rPr>
            </w:pPr>
            <w:r>
              <w:rPr>
                <w:szCs w:val="20"/>
              </w:rPr>
              <w:t>Estimated number of Triple negative</w:t>
            </w:r>
            <w:r w:rsidR="00521312">
              <w:rPr>
                <w:szCs w:val="20"/>
              </w:rPr>
              <w:t xml:space="preserve"> patients treated with prior </w:t>
            </w:r>
            <w:r w:rsidR="00521312" w:rsidRPr="005A012F">
              <w:rPr>
                <w:szCs w:val="20"/>
              </w:rPr>
              <w:t>anthracycl</w:t>
            </w:r>
            <w:r w:rsidR="00521312">
              <w:rPr>
                <w:szCs w:val="20"/>
              </w:rPr>
              <w:t>in</w:t>
            </w:r>
            <w:r w:rsidR="00521312" w:rsidRPr="005A012F">
              <w:rPr>
                <w:szCs w:val="20"/>
              </w:rPr>
              <w:t>e/</w:t>
            </w:r>
            <w:proofErr w:type="spellStart"/>
            <w:r w:rsidR="00521312" w:rsidRPr="005A012F">
              <w:rPr>
                <w:szCs w:val="20"/>
              </w:rPr>
              <w:t>taxane</w:t>
            </w:r>
            <w:r w:rsidR="00521312">
              <w:rPr>
                <w:szCs w:val="20"/>
              </w:rPr>
              <w:t>s</w:t>
            </w:r>
            <w:proofErr w:type="spellEnd"/>
            <w:r w:rsidR="00521312">
              <w:rPr>
                <w:szCs w:val="20"/>
              </w:rPr>
              <w:t xml:space="preserve"> </w:t>
            </w:r>
            <w:r w:rsidR="00521312" w:rsidRPr="005A012F">
              <w:rPr>
                <w:szCs w:val="20"/>
              </w:rPr>
              <w:t>and not suitable for hormone therapy</w:t>
            </w:r>
            <w:r>
              <w:rPr>
                <w:szCs w:val="20"/>
              </w:rPr>
              <w:br/>
            </w:r>
            <w:r w:rsidR="009D29B5">
              <w:rPr>
                <w:szCs w:val="20"/>
              </w:rPr>
              <w:t>(18066</w:t>
            </w:r>
            <w:r>
              <w:rPr>
                <w:szCs w:val="20"/>
              </w:rPr>
              <w:t xml:space="preserve"> x 17%</w:t>
            </w:r>
            <w:r w:rsidR="00521312">
              <w:rPr>
                <w:szCs w:val="20"/>
              </w:rPr>
              <w:t xml:space="preserve"> x 80%</w:t>
            </w:r>
            <w:r>
              <w:rPr>
                <w:szCs w:val="20"/>
              </w:rPr>
              <w:t>)</w:t>
            </w:r>
          </w:p>
        </w:tc>
        <w:tc>
          <w:tcPr>
            <w:tcW w:w="2217" w:type="dxa"/>
          </w:tcPr>
          <w:p w14:paraId="3B3270C5" w14:textId="1E3E9ADA" w:rsidR="00AE6BBC" w:rsidRDefault="00521312" w:rsidP="00385B8A">
            <w:pPr>
              <w:spacing w:before="0" w:after="0"/>
              <w:jc w:val="center"/>
              <w:rPr>
                <w:szCs w:val="20"/>
              </w:rPr>
            </w:pPr>
            <w:r>
              <w:rPr>
                <w:szCs w:val="20"/>
              </w:rPr>
              <w:t>2457</w:t>
            </w:r>
          </w:p>
        </w:tc>
      </w:tr>
      <w:tr w:rsidR="00A61316" w14:paraId="1552D0B5" w14:textId="77777777" w:rsidTr="00521312">
        <w:tc>
          <w:tcPr>
            <w:tcW w:w="6373" w:type="dxa"/>
          </w:tcPr>
          <w:p w14:paraId="4083317A" w14:textId="54588749" w:rsidR="00A61316" w:rsidRDefault="000C1F51" w:rsidP="00A61316">
            <w:pPr>
              <w:spacing w:before="0" w:after="0"/>
              <w:rPr>
                <w:szCs w:val="20"/>
              </w:rPr>
            </w:pPr>
            <w:r>
              <w:rPr>
                <w:szCs w:val="20"/>
              </w:rPr>
              <w:t xml:space="preserve">Uptake of </w:t>
            </w:r>
            <w:proofErr w:type="spellStart"/>
            <w:r>
              <w:rPr>
                <w:szCs w:val="20"/>
              </w:rPr>
              <w:t>gBRCAm</w:t>
            </w:r>
            <w:proofErr w:type="spellEnd"/>
            <w:r>
              <w:rPr>
                <w:szCs w:val="20"/>
              </w:rPr>
              <w:t xml:space="preserve"> test in eligible </w:t>
            </w:r>
            <w:r w:rsidRPr="000C1F51">
              <w:rPr>
                <w:szCs w:val="20"/>
              </w:rPr>
              <w:t>HR+/HER2 patients</w:t>
            </w:r>
          </w:p>
          <w:p w14:paraId="0991A9B8" w14:textId="3A602251" w:rsidR="000C1F51" w:rsidRDefault="000C1F51" w:rsidP="00A61316">
            <w:pPr>
              <w:spacing w:before="0" w:after="0"/>
              <w:rPr>
                <w:szCs w:val="20"/>
              </w:rPr>
            </w:pPr>
            <w:r>
              <w:rPr>
                <w:szCs w:val="20"/>
              </w:rPr>
              <w:t>(9105 x 30%)</w:t>
            </w:r>
          </w:p>
        </w:tc>
        <w:tc>
          <w:tcPr>
            <w:tcW w:w="2217" w:type="dxa"/>
          </w:tcPr>
          <w:p w14:paraId="34289E6F" w14:textId="11E9ED9B" w:rsidR="00A61316" w:rsidRDefault="000C1F51" w:rsidP="00385B8A">
            <w:pPr>
              <w:spacing w:before="0" w:after="0"/>
              <w:jc w:val="center"/>
              <w:rPr>
                <w:szCs w:val="20"/>
              </w:rPr>
            </w:pPr>
            <w:r>
              <w:rPr>
                <w:szCs w:val="20"/>
              </w:rPr>
              <w:t>2732</w:t>
            </w:r>
          </w:p>
        </w:tc>
      </w:tr>
      <w:tr w:rsidR="00A61316" w14:paraId="61A5772D" w14:textId="77777777" w:rsidTr="00521312">
        <w:tc>
          <w:tcPr>
            <w:tcW w:w="6373" w:type="dxa"/>
          </w:tcPr>
          <w:p w14:paraId="4C7B2AD9" w14:textId="330E03BD" w:rsidR="000C1F51" w:rsidRDefault="000C1F51" w:rsidP="000C1F51">
            <w:pPr>
              <w:spacing w:before="0" w:after="0"/>
              <w:rPr>
                <w:szCs w:val="20"/>
              </w:rPr>
            </w:pPr>
            <w:r>
              <w:rPr>
                <w:szCs w:val="20"/>
              </w:rPr>
              <w:t xml:space="preserve">Uptake of </w:t>
            </w:r>
            <w:proofErr w:type="spellStart"/>
            <w:r>
              <w:rPr>
                <w:szCs w:val="20"/>
              </w:rPr>
              <w:t>gBRCAm</w:t>
            </w:r>
            <w:proofErr w:type="spellEnd"/>
            <w:r>
              <w:rPr>
                <w:szCs w:val="20"/>
              </w:rPr>
              <w:t xml:space="preserve"> test in eligible triple negative</w:t>
            </w:r>
            <w:r w:rsidRPr="000C1F51">
              <w:rPr>
                <w:szCs w:val="20"/>
              </w:rPr>
              <w:t xml:space="preserve"> patients</w:t>
            </w:r>
          </w:p>
          <w:p w14:paraId="251D7511" w14:textId="48711129" w:rsidR="00A61316" w:rsidRDefault="000C1F51" w:rsidP="000C1F51">
            <w:pPr>
              <w:spacing w:before="0" w:after="0"/>
              <w:rPr>
                <w:szCs w:val="20"/>
              </w:rPr>
            </w:pPr>
            <w:r>
              <w:rPr>
                <w:szCs w:val="20"/>
              </w:rPr>
              <w:t>(2457 x 50%)</w:t>
            </w:r>
          </w:p>
        </w:tc>
        <w:tc>
          <w:tcPr>
            <w:tcW w:w="2217" w:type="dxa"/>
          </w:tcPr>
          <w:p w14:paraId="7620C153" w14:textId="5CE62BD1" w:rsidR="00A61316" w:rsidRDefault="000C1F51" w:rsidP="00385B8A">
            <w:pPr>
              <w:spacing w:before="0" w:after="0"/>
              <w:jc w:val="center"/>
              <w:rPr>
                <w:szCs w:val="20"/>
              </w:rPr>
            </w:pPr>
            <w:r>
              <w:rPr>
                <w:szCs w:val="20"/>
              </w:rPr>
              <w:t>1228</w:t>
            </w:r>
          </w:p>
        </w:tc>
      </w:tr>
      <w:tr w:rsidR="000C1F51" w14:paraId="2B095689" w14:textId="77777777" w:rsidTr="00521312">
        <w:tc>
          <w:tcPr>
            <w:tcW w:w="6373" w:type="dxa"/>
          </w:tcPr>
          <w:p w14:paraId="073DA096" w14:textId="77777777" w:rsidR="000C1F51" w:rsidRDefault="000C1F51" w:rsidP="000C1F51">
            <w:pPr>
              <w:spacing w:before="0" w:after="0"/>
              <w:rPr>
                <w:szCs w:val="20"/>
              </w:rPr>
            </w:pPr>
            <w:r>
              <w:rPr>
                <w:szCs w:val="20"/>
              </w:rPr>
              <w:t xml:space="preserve">Total eligible patients taking up </w:t>
            </w:r>
            <w:proofErr w:type="spellStart"/>
            <w:r>
              <w:rPr>
                <w:szCs w:val="20"/>
              </w:rPr>
              <w:t>gBRCAm</w:t>
            </w:r>
            <w:proofErr w:type="spellEnd"/>
            <w:r>
              <w:rPr>
                <w:szCs w:val="20"/>
              </w:rPr>
              <w:t xml:space="preserve"> test </w:t>
            </w:r>
          </w:p>
          <w:p w14:paraId="503DF444" w14:textId="6F0F7E9B" w:rsidR="000C1F51" w:rsidRDefault="000C1F51" w:rsidP="000C1F51">
            <w:pPr>
              <w:spacing w:before="0" w:after="0"/>
              <w:rPr>
                <w:szCs w:val="20"/>
              </w:rPr>
            </w:pPr>
            <w:r>
              <w:rPr>
                <w:szCs w:val="20"/>
              </w:rPr>
              <w:t>(2732 + 1228)</w:t>
            </w:r>
          </w:p>
        </w:tc>
        <w:tc>
          <w:tcPr>
            <w:tcW w:w="2217" w:type="dxa"/>
          </w:tcPr>
          <w:p w14:paraId="73D0C458" w14:textId="3A7B3D96" w:rsidR="000C1F51" w:rsidRDefault="000C1F51" w:rsidP="00385B8A">
            <w:pPr>
              <w:spacing w:before="0" w:after="0"/>
              <w:jc w:val="center"/>
              <w:rPr>
                <w:szCs w:val="20"/>
              </w:rPr>
            </w:pPr>
            <w:r>
              <w:rPr>
                <w:szCs w:val="20"/>
              </w:rPr>
              <w:t>3960</w:t>
            </w:r>
          </w:p>
        </w:tc>
      </w:tr>
    </w:tbl>
    <w:p w14:paraId="4E8BF3A3" w14:textId="77777777" w:rsidR="00B845C8" w:rsidRPr="00154B00" w:rsidRDefault="00B845C8" w:rsidP="00AE1188">
      <w:pPr>
        <w:ind w:left="426"/>
        <w:rPr>
          <w:szCs w:val="20"/>
        </w:rPr>
      </w:pPr>
    </w:p>
    <w:p w14:paraId="697274CA" w14:textId="719ABA04"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85586B1" w14:textId="2DF16D2A" w:rsidR="006D4993" w:rsidRDefault="00D25CD3" w:rsidP="00B83F19">
      <w:pPr>
        <w:ind w:left="360"/>
        <w:jc w:val="both"/>
      </w:pPr>
      <w:r w:rsidRPr="008821AE">
        <w:t xml:space="preserve">Refer to </w:t>
      </w:r>
      <w:r w:rsidRPr="00B72D7A">
        <w:rPr>
          <w:b/>
        </w:rPr>
        <w:fldChar w:fldCharType="begin"/>
      </w:r>
      <w:r w:rsidRPr="00B72D7A">
        <w:rPr>
          <w:b/>
        </w:rPr>
        <w:instrText xml:space="preserve"> REF _Ref486930360 \h </w:instrText>
      </w:r>
      <w:r w:rsidR="00B72D7A">
        <w:rPr>
          <w:b/>
        </w:rPr>
        <w:instrText xml:space="preserve"> \* MERGEFORMAT </w:instrText>
      </w:r>
      <w:r w:rsidRPr="00B72D7A">
        <w:rPr>
          <w:b/>
        </w:rPr>
      </w:r>
      <w:r w:rsidRPr="00B72D7A">
        <w:rPr>
          <w:b/>
        </w:rPr>
        <w:fldChar w:fldCharType="separate"/>
      </w:r>
      <w:r w:rsidRPr="00B72D7A">
        <w:rPr>
          <w:b/>
          <w:sz w:val="18"/>
        </w:rPr>
        <w:t xml:space="preserve">Table </w:t>
      </w:r>
      <w:r w:rsidRPr="00B72D7A">
        <w:rPr>
          <w:b/>
          <w:noProof/>
          <w:sz w:val="18"/>
        </w:rPr>
        <w:t>1</w:t>
      </w:r>
      <w:r w:rsidRPr="00B72D7A">
        <w:rPr>
          <w:b/>
        </w:rPr>
        <w:fldChar w:fldCharType="end"/>
      </w:r>
      <w:r w:rsidR="00B72D7A">
        <w:t xml:space="preserve"> above which presents</w:t>
      </w:r>
      <w:r w:rsidRPr="008821AE">
        <w:t xml:space="preserve"> the </w:t>
      </w:r>
      <w:r w:rsidR="00951E6E">
        <w:t xml:space="preserve">estimated </w:t>
      </w:r>
      <w:r w:rsidRPr="008821AE">
        <w:t xml:space="preserve">uptake rate of </w:t>
      </w:r>
      <w:proofErr w:type="spellStart"/>
      <w:r w:rsidR="00951E6E" w:rsidRPr="00951E6E">
        <w:rPr>
          <w:i/>
        </w:rPr>
        <w:t>BRCA</w:t>
      </w:r>
      <w:r w:rsidR="00951E6E">
        <w:t>m</w:t>
      </w:r>
      <w:proofErr w:type="spellEnd"/>
      <w:r w:rsidR="00951E6E">
        <w:t xml:space="preserve"> </w:t>
      </w:r>
      <w:r w:rsidR="00A15E76" w:rsidRPr="008821AE">
        <w:t xml:space="preserve">testing </w:t>
      </w:r>
      <w:r w:rsidRPr="008821AE">
        <w:t xml:space="preserve">for the eligible patients from Year 1 to Year 3 of listing. It is expected that there will be an increase in future </w:t>
      </w:r>
      <w:r w:rsidRPr="00951E6E">
        <w:rPr>
          <w:i/>
        </w:rPr>
        <w:t xml:space="preserve">BRCA </w:t>
      </w:r>
      <w:r w:rsidRPr="008821AE">
        <w:t>testing rates compare</w:t>
      </w:r>
      <w:r w:rsidR="00951E6E">
        <w:t>d</w:t>
      </w:r>
      <w:r w:rsidRPr="008821AE">
        <w:t xml:space="preserve"> to the </w:t>
      </w:r>
      <w:r w:rsidR="00951E6E">
        <w:t xml:space="preserve">current </w:t>
      </w:r>
      <w:r w:rsidR="00951E6E" w:rsidRPr="00951E6E">
        <w:rPr>
          <w:i/>
        </w:rPr>
        <w:t>BRCA</w:t>
      </w:r>
      <w:r w:rsidR="00951E6E">
        <w:t xml:space="preserve"> testing </w:t>
      </w:r>
      <w:r w:rsidRPr="008821AE">
        <w:t xml:space="preserve">rate. A detailed </w:t>
      </w:r>
      <w:r w:rsidR="00951E6E">
        <w:t xml:space="preserve">utilisation </w:t>
      </w:r>
      <w:r w:rsidRPr="008821AE">
        <w:t>a</w:t>
      </w:r>
      <w:r w:rsidR="00951E6E">
        <w:t>nalysis</w:t>
      </w:r>
      <w:r w:rsidRPr="008821AE">
        <w:t xml:space="preserve"> will be </w:t>
      </w:r>
      <w:r w:rsidR="00951E6E">
        <w:t xml:space="preserve">presented </w:t>
      </w:r>
      <w:r w:rsidRPr="008821AE">
        <w:t>in the co-dependent MSAC/PBAC submission</w:t>
      </w:r>
      <w:r w:rsidR="008821AE" w:rsidRPr="008821AE">
        <w:t>.</w:t>
      </w:r>
    </w:p>
    <w:p w14:paraId="7AD6E288" w14:textId="0B59BE31" w:rsidR="00F00BA5" w:rsidRPr="00154B00" w:rsidRDefault="00F00BA5" w:rsidP="00A34959">
      <w:pPr>
        <w:ind w:left="360"/>
        <w:jc w:val="both"/>
        <w:rPr>
          <w:szCs w:val="20"/>
        </w:rPr>
      </w:pPr>
      <w:r>
        <w:rPr>
          <w:szCs w:val="20"/>
        </w:rPr>
        <w:t>In order to reduce the risk of leakage to other populations it is proposed that the MBS restriction should specify germline BRCA1/2 mutation testing from patients with locally advanced or metastatic breast cancer which are HER2 negative</w:t>
      </w:r>
      <w:r w:rsidR="005A3400">
        <w:rPr>
          <w:szCs w:val="20"/>
        </w:rPr>
        <w:t xml:space="preserve"> who meet the PBS criteria.</w:t>
      </w:r>
      <w:r w:rsidR="00385B8A">
        <w:rPr>
          <w:szCs w:val="20"/>
        </w:rPr>
        <w:t xml:space="preserve"> </w:t>
      </w:r>
      <w:r>
        <w:rPr>
          <w:szCs w:val="20"/>
        </w:rPr>
        <w:t>This will be clarified in the co-dependent PBS criteria, however the additional clarification in the MBS criteria would reduce the risk of leakage in populations where the clinical and cost effectiveness of germline BRCA mutation testing has not yet been determined.</w:t>
      </w:r>
    </w:p>
    <w:p w14:paraId="3ADCE536" w14:textId="77777777" w:rsidR="003433D1" w:rsidRDefault="003433D1" w:rsidP="00F00BA5">
      <w:pPr>
        <w:rPr>
          <w:b/>
          <w:sz w:val="32"/>
          <w:szCs w:val="32"/>
        </w:rPr>
      </w:pPr>
      <w:r>
        <w:rPr>
          <w:b/>
          <w:sz w:val="32"/>
          <w:szCs w:val="32"/>
        </w:rPr>
        <w:br w:type="page"/>
      </w:r>
    </w:p>
    <w:p w14:paraId="47521498"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32ECEC1A"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62A75F7" w14:textId="77777777" w:rsidR="00951933" w:rsidRPr="00154B00" w:rsidRDefault="007E7F4C" w:rsidP="007E7F4C">
      <w:pPr>
        <w:ind w:left="360"/>
        <w:rPr>
          <w:szCs w:val="20"/>
        </w:rPr>
      </w:pPr>
      <w:r>
        <w:t xml:space="preserve">The current cost of </w:t>
      </w:r>
      <w:r w:rsidR="00367204">
        <w:t>g</w:t>
      </w:r>
      <w:r w:rsidR="00467E0B">
        <w:t xml:space="preserve">ermline </w:t>
      </w:r>
      <w:r w:rsidR="00367204" w:rsidRPr="00467E0B">
        <w:rPr>
          <w:i/>
        </w:rPr>
        <w:t>BRCA</w:t>
      </w:r>
      <w:r w:rsidR="00467E0B" w:rsidRPr="00467E0B">
        <w:t xml:space="preserve"> mutation</w:t>
      </w:r>
      <w:r>
        <w:t xml:space="preserve"> test for MBS item # 73295</w:t>
      </w:r>
      <w:r w:rsidR="00367204">
        <w:t xml:space="preserve"> is $1200 per test. </w:t>
      </w:r>
      <w:r w:rsidR="00F40887">
        <w:t xml:space="preserve">It is anticipated that the cost will be the same for metastatic breast cancer patients. </w:t>
      </w:r>
      <w:r w:rsidR="00367204">
        <w:t>Only one test is required per lifetime.</w:t>
      </w:r>
    </w:p>
    <w:p w14:paraId="65FC5A5F" w14:textId="77777777"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D23DFF5" w14:textId="77777777" w:rsidR="00710728" w:rsidRPr="00710728" w:rsidRDefault="00710728" w:rsidP="00E66F3D">
      <w:pPr>
        <w:ind w:left="360"/>
      </w:pPr>
      <w:r>
        <w:t>Testing turnaround time from when the blood sample is collected to test result is between 3 to 8 weeks.</w:t>
      </w:r>
    </w:p>
    <w:p w14:paraId="04536DA2"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FA1991A" w14:textId="77777777" w:rsidR="00AE1188" w:rsidRPr="00467E0B" w:rsidRDefault="00AE1188" w:rsidP="00E66F3D">
      <w:pPr>
        <w:pBdr>
          <w:top w:val="single" w:sz="4" w:space="1" w:color="auto"/>
          <w:left w:val="single" w:sz="4" w:space="4" w:color="auto"/>
          <w:bottom w:val="single" w:sz="4" w:space="1" w:color="auto"/>
          <w:right w:val="single" w:sz="4" w:space="4" w:color="auto"/>
          <w:between w:val="single" w:sz="4" w:space="1" w:color="auto"/>
          <w:bar w:val="single" w:sz="4" w:color="auto"/>
        </w:pBdr>
        <w:rPr>
          <w:caps/>
          <w:szCs w:val="20"/>
        </w:rPr>
      </w:pPr>
      <w:r>
        <w:rPr>
          <w:szCs w:val="20"/>
        </w:rPr>
        <w:t xml:space="preserve">Category </w:t>
      </w:r>
      <w:r w:rsidR="00DF0E48">
        <w:rPr>
          <w:szCs w:val="20"/>
        </w:rPr>
        <w:t>6</w:t>
      </w:r>
      <w:r w:rsidRPr="00AE1188">
        <w:rPr>
          <w:szCs w:val="20"/>
        </w:rPr>
        <w:t xml:space="preserve"> – </w:t>
      </w:r>
      <w:r w:rsidR="00DF0E48" w:rsidRPr="00467E0B">
        <w:rPr>
          <w:caps/>
          <w:szCs w:val="20"/>
        </w:rPr>
        <w:t>Pathology Services</w:t>
      </w:r>
    </w:p>
    <w:p w14:paraId="457B253B" w14:textId="77777777" w:rsidR="00DF0E4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14:paraId="20501769" w14:textId="53E6FDE0" w:rsidR="00DF0E48" w:rsidRDefault="00DF0E48" w:rsidP="00AE1188">
      <w:pPr>
        <w:pBdr>
          <w:top w:val="single" w:sz="4" w:space="1" w:color="auto"/>
          <w:left w:val="single" w:sz="4" w:space="4" w:color="auto"/>
          <w:bottom w:val="single" w:sz="4" w:space="1" w:color="auto"/>
          <w:right w:val="single" w:sz="4" w:space="4" w:color="auto"/>
        </w:pBdr>
      </w:pPr>
      <w:r>
        <w:rPr>
          <w:szCs w:val="20"/>
        </w:rPr>
        <w:t xml:space="preserve">Detection of germline BRCA1 or BRCA2 </w:t>
      </w:r>
      <w:r w:rsidR="00ED51A0">
        <w:rPr>
          <w:szCs w:val="20"/>
        </w:rPr>
        <w:t>gene mutation, in patients</w:t>
      </w:r>
      <w:r w:rsidR="00ED51A0">
        <w:t xml:space="preserve"> with human epidermal growth factor-2 (HER2) negative locally advanced or metastatic breast cancer who have received prior treatment with an anthracycline and a </w:t>
      </w:r>
      <w:proofErr w:type="spellStart"/>
      <w:r w:rsidR="00ED51A0">
        <w:t>taxane</w:t>
      </w:r>
      <w:proofErr w:type="spellEnd"/>
      <w:r w:rsidR="00ED51A0">
        <w:t xml:space="preserve"> in either the adjuvant or metastatic setting. Hormone receptor positive patients must be refractory or inappropriate for treatment with endocrine therapy. </w:t>
      </w:r>
      <w:r w:rsidR="0048679D">
        <w:t xml:space="preserve"> Request for medical service is by a specialist or consultant physician to determine whether the eligibility criteria for </w:t>
      </w:r>
      <w:proofErr w:type="spellStart"/>
      <w:r w:rsidR="0048679D">
        <w:t>olaparib</w:t>
      </w:r>
      <w:proofErr w:type="spellEnd"/>
      <w:r w:rsidR="0048679D">
        <w:t xml:space="preserve"> under the Pharmaceutical Benefits Scheme (PBS) are fulfilled.</w:t>
      </w:r>
    </w:p>
    <w:p w14:paraId="3B9EDBDB" w14:textId="77777777" w:rsidR="00ED51A0" w:rsidRPr="0048679D" w:rsidRDefault="0048679D" w:rsidP="00AE1188">
      <w:pPr>
        <w:pBdr>
          <w:top w:val="single" w:sz="4" w:space="1" w:color="auto"/>
          <w:left w:val="single" w:sz="4" w:space="4" w:color="auto"/>
          <w:bottom w:val="single" w:sz="4" w:space="1" w:color="auto"/>
          <w:right w:val="single" w:sz="4" w:space="4" w:color="auto"/>
        </w:pBdr>
      </w:pPr>
      <w:r>
        <w:t>Maximum on test per lifetime</w:t>
      </w:r>
    </w:p>
    <w:p w14:paraId="586529B0"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ED51A0">
        <w:rPr>
          <w:szCs w:val="20"/>
        </w:rPr>
        <w:t xml:space="preserve"> 1200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14:paraId="3BFD2991" w14:textId="77777777" w:rsidR="00AE1188" w:rsidRDefault="00AE1188" w:rsidP="00115EEC">
      <w:pPr>
        <w:pStyle w:val="Heading2"/>
        <w:numPr>
          <w:ilvl w:val="0"/>
          <w:numId w:val="0"/>
        </w:numPr>
      </w:pPr>
      <w:r>
        <w:br w:type="page"/>
      </w:r>
    </w:p>
    <w:p w14:paraId="7A307757" w14:textId="77777777" w:rsidR="00E058F2" w:rsidRPr="00C776B1" w:rsidRDefault="001B5169" w:rsidP="00AE1188">
      <w:pPr>
        <w:pStyle w:val="Heading1"/>
      </w:pPr>
      <w:r>
        <w:lastRenderedPageBreak/>
        <w:t>PART 9</w:t>
      </w:r>
      <w:r w:rsidR="00F93784">
        <w:t xml:space="preserve"> – </w:t>
      </w:r>
      <w:r w:rsidR="00E058F2" w:rsidRPr="00C776B1">
        <w:t>FEEDBACK</w:t>
      </w:r>
    </w:p>
    <w:p w14:paraId="305F3260"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4F1C6AC2" w14:textId="17D58A07" w:rsidR="00E058F2" w:rsidRDefault="00E058F2" w:rsidP="001B5169">
      <w:pPr>
        <w:pStyle w:val="Heading2"/>
      </w:pPr>
      <w:r w:rsidRPr="00AE1188">
        <w:t>How long did it take to complete the Application Form?</w:t>
      </w:r>
    </w:p>
    <w:p w14:paraId="761CF965" w14:textId="25824C8F" w:rsidR="00F96B90" w:rsidRPr="00F96B90" w:rsidRDefault="00F96B90" w:rsidP="00F96B90">
      <w:r>
        <w:t>6 weeks</w:t>
      </w:r>
    </w:p>
    <w:p w14:paraId="1038852C"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6359A3A7"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00E82021" w14:textId="52037EA4" w:rsidR="00603D04" w:rsidRPr="001B29A1" w:rsidRDefault="00BA4DFF"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4253906"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F14C5">
        <w:rPr>
          <w:szCs w:val="20"/>
        </w:rPr>
      </w:r>
      <w:r w:rsidR="001F14C5">
        <w:rPr>
          <w:szCs w:val="20"/>
        </w:rPr>
        <w:fldChar w:fldCharType="separate"/>
      </w:r>
      <w:r w:rsidRPr="001B29A1">
        <w:rPr>
          <w:szCs w:val="20"/>
        </w:rPr>
        <w:fldChar w:fldCharType="end"/>
      </w:r>
      <w:r w:rsidRPr="001B29A1">
        <w:rPr>
          <w:szCs w:val="20"/>
        </w:rPr>
        <w:t xml:space="preserve"> </w:t>
      </w:r>
      <w:r>
        <w:rPr>
          <w:szCs w:val="20"/>
        </w:rPr>
        <w:t>No</w:t>
      </w:r>
    </w:p>
    <w:p w14:paraId="03098D60" w14:textId="77777777" w:rsidR="003D6DE1" w:rsidRPr="00154B00" w:rsidRDefault="00603D04" w:rsidP="007F3FCD">
      <w:pPr>
        <w:pStyle w:val="Heading2"/>
        <w:numPr>
          <w:ilvl w:val="0"/>
          <w:numId w:val="10"/>
        </w:numPr>
      </w:pPr>
      <w:r>
        <w:t>If no, provide areas of concern:</w:t>
      </w:r>
    </w:p>
    <w:p w14:paraId="208153EC"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1C7D597C" w14:textId="7AAAB5B5" w:rsidR="00E058F2" w:rsidRDefault="001B5169" w:rsidP="00530204">
      <w:pPr>
        <w:pStyle w:val="Heading2"/>
      </w:pPr>
      <w:r>
        <w:t xml:space="preserve">(a) </w:t>
      </w:r>
      <w:r w:rsidR="00E058F2" w:rsidRPr="00603D04">
        <w:t>Are</w:t>
      </w:r>
      <w:r w:rsidR="00E058F2" w:rsidRPr="00154B00">
        <w:t xml:space="preserve"> the associated Guidelines to the Application Form useful?</w:t>
      </w:r>
    </w:p>
    <w:p w14:paraId="0209D5F2" w14:textId="53DCE243" w:rsidR="00F561C6" w:rsidRPr="00F561C6" w:rsidRDefault="00F561C6" w:rsidP="00F561C6">
      <w:r>
        <w:t xml:space="preserve">Did not </w:t>
      </w:r>
      <w:r w:rsidR="002C6568">
        <w:t xml:space="preserve">need to refer to the guidelines, most of the questions were </w:t>
      </w:r>
      <w:r w:rsidR="00D01384">
        <w:t>self-explanatory</w:t>
      </w:r>
      <w:r w:rsidR="00D63B19">
        <w:t>.</w:t>
      </w:r>
      <w:r w:rsidR="00D01384">
        <w:t xml:space="preserve"> </w:t>
      </w:r>
      <w:proofErr w:type="gramStart"/>
      <w:r w:rsidR="00D01384">
        <w:t>Also useful that we could contact the MSAC Secretariat for clarification of any issues.</w:t>
      </w:r>
      <w:proofErr w:type="gramEnd"/>
    </w:p>
    <w:p w14:paraId="0FDE9EE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F14C5">
        <w:rPr>
          <w:szCs w:val="20"/>
        </w:rPr>
      </w:r>
      <w:r w:rsidR="001F14C5">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A81AD05" w14:textId="08B33D8B" w:rsidR="00603D04" w:rsidRPr="001B29A1" w:rsidRDefault="00D01384"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03D04" w:rsidRPr="001B29A1">
        <w:rPr>
          <w:szCs w:val="20"/>
        </w:rPr>
        <w:t xml:space="preserve"> </w:t>
      </w:r>
      <w:r w:rsidR="00603D04">
        <w:rPr>
          <w:szCs w:val="20"/>
        </w:rPr>
        <w:t>No</w:t>
      </w:r>
    </w:p>
    <w:p w14:paraId="0BD79B1F" w14:textId="77777777" w:rsidR="003D6DE1" w:rsidRPr="00154B00" w:rsidRDefault="003D6DE1" w:rsidP="007F3FCD">
      <w:pPr>
        <w:pStyle w:val="Heading2"/>
        <w:numPr>
          <w:ilvl w:val="0"/>
          <w:numId w:val="11"/>
        </w:numPr>
      </w:pPr>
      <w:r>
        <w:t>If no, what areas did you find not to be useful?</w:t>
      </w:r>
    </w:p>
    <w:p w14:paraId="6966A2DD"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2182F7BE"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866E66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F14C5">
        <w:rPr>
          <w:szCs w:val="20"/>
        </w:rPr>
      </w:r>
      <w:r w:rsidR="001F14C5">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EA0CD1C" w14:textId="2122A96D" w:rsidR="00603D04" w:rsidRPr="001B29A1" w:rsidRDefault="00F561C6"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F14C5">
        <w:rPr>
          <w:szCs w:val="20"/>
        </w:rPr>
      </w:r>
      <w:r w:rsidR="001F14C5">
        <w:rPr>
          <w:szCs w:val="20"/>
        </w:rPr>
        <w:fldChar w:fldCharType="separate"/>
      </w:r>
      <w:r>
        <w:rPr>
          <w:szCs w:val="20"/>
        </w:rPr>
        <w:fldChar w:fldCharType="end"/>
      </w:r>
      <w:r w:rsidR="00603D04" w:rsidRPr="001B29A1">
        <w:rPr>
          <w:szCs w:val="20"/>
        </w:rPr>
        <w:t xml:space="preserve"> </w:t>
      </w:r>
      <w:r w:rsidR="00603D04">
        <w:rPr>
          <w:szCs w:val="20"/>
        </w:rPr>
        <w:t>No</w:t>
      </w:r>
    </w:p>
    <w:p w14:paraId="59E99C03" w14:textId="77777777" w:rsidR="001845D9" w:rsidRPr="00154B00" w:rsidRDefault="001845D9" w:rsidP="007F3FCD">
      <w:pPr>
        <w:pStyle w:val="Heading2"/>
        <w:numPr>
          <w:ilvl w:val="0"/>
          <w:numId w:val="12"/>
        </w:numPr>
      </w:pPr>
      <w:r w:rsidRPr="00154B00">
        <w:t>If yes, please advise:</w:t>
      </w:r>
    </w:p>
    <w:p w14:paraId="72130E0E" w14:textId="77777777" w:rsidR="00451840"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600F2FA9" w14:textId="77777777" w:rsidR="004725B6" w:rsidRDefault="004725B6">
      <w:pPr>
        <w:spacing w:before="0" w:after="200" w:line="276" w:lineRule="auto"/>
      </w:pPr>
    </w:p>
    <w:sectPr w:rsidR="004725B6"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BA0F9" w14:textId="77777777" w:rsidR="001F14C5" w:rsidRDefault="001F14C5" w:rsidP="00CF2DFA">
      <w:pPr>
        <w:spacing w:after="0"/>
      </w:pPr>
      <w:r>
        <w:separator/>
      </w:r>
    </w:p>
  </w:endnote>
  <w:endnote w:type="continuationSeparator" w:id="0">
    <w:p w14:paraId="4FB396B5" w14:textId="77777777" w:rsidR="001F14C5" w:rsidRDefault="001F14C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3ABAF78" w14:textId="665309C9" w:rsidR="001F14C5" w:rsidRDefault="001F14C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45B23" w:rsidRPr="00F45B23">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C774957" w14:textId="77777777" w:rsidR="001F14C5" w:rsidRPr="003F7CB9" w:rsidRDefault="001F14C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0E06A" w14:textId="77777777" w:rsidR="001F14C5" w:rsidRDefault="001F14C5" w:rsidP="00CF2DFA">
      <w:pPr>
        <w:spacing w:after="0"/>
      </w:pPr>
      <w:r>
        <w:separator/>
      </w:r>
    </w:p>
  </w:footnote>
  <w:footnote w:type="continuationSeparator" w:id="0">
    <w:p w14:paraId="6580EB2B" w14:textId="77777777" w:rsidR="001F14C5" w:rsidRDefault="001F14C5" w:rsidP="00CF2DFA">
      <w:pPr>
        <w:spacing w:after="0"/>
      </w:pPr>
      <w:r>
        <w:continuationSeparator/>
      </w:r>
    </w:p>
  </w:footnote>
  <w:footnote w:id="1">
    <w:p w14:paraId="4CDFF99F" w14:textId="77777777" w:rsidR="001F14C5" w:rsidRPr="000B2908" w:rsidRDefault="001F14C5" w:rsidP="00EE37BA">
      <w:pPr>
        <w:pStyle w:val="FootnoteText"/>
        <w:rPr>
          <w:rFonts w:asciiTheme="minorHAnsi" w:hAnsiTheme="minorHAnsi"/>
          <w:sz w:val="16"/>
          <w:szCs w:val="16"/>
          <w:lang w:val="en-AU"/>
        </w:rPr>
      </w:pPr>
      <w:r w:rsidRPr="00910915">
        <w:rPr>
          <w:rStyle w:val="FootnoteReference"/>
          <w:rFonts w:asciiTheme="minorHAnsi" w:hAnsiTheme="minorHAnsi"/>
        </w:rPr>
        <w:footnoteRef/>
      </w:r>
      <w:r w:rsidRPr="00910915">
        <w:rPr>
          <w:rFonts w:asciiTheme="minorHAnsi" w:hAnsiTheme="minorHAnsi"/>
        </w:rPr>
        <w:t xml:space="preserve"> </w:t>
      </w:r>
      <w:r w:rsidRPr="000B2908">
        <w:rPr>
          <w:rFonts w:asciiTheme="minorHAnsi" w:hAnsiTheme="minorHAnsi"/>
          <w:sz w:val="16"/>
          <w:szCs w:val="16"/>
        </w:rPr>
        <w:t>https://www.bcna.org.au/understanding-breast-cancer/</w:t>
      </w:r>
    </w:p>
  </w:footnote>
  <w:footnote w:id="2">
    <w:p w14:paraId="47781830" w14:textId="77777777" w:rsidR="001F14C5" w:rsidRPr="000B2908" w:rsidRDefault="001F14C5" w:rsidP="0090621E">
      <w:pPr>
        <w:pStyle w:val="EndNoteBibliography"/>
        <w:spacing w:after="0"/>
        <w:ind w:left="720" w:hanging="720"/>
        <w:rPr>
          <w:rFonts w:asciiTheme="minorHAnsi" w:eastAsia="Times New Roman" w:hAnsiTheme="minorHAnsi" w:cs="Times New Roman"/>
          <w:noProof w:val="0"/>
          <w:sz w:val="16"/>
          <w:szCs w:val="16"/>
          <w:lang w:val="en-US" w:eastAsia="en-US"/>
        </w:rPr>
      </w:pPr>
      <w:r w:rsidRPr="000B2908">
        <w:rPr>
          <w:rStyle w:val="FootnoteReference"/>
          <w:rFonts w:asciiTheme="minorHAnsi" w:hAnsiTheme="minorHAnsi"/>
          <w:sz w:val="16"/>
          <w:szCs w:val="16"/>
        </w:rPr>
        <w:footnoteRef/>
      </w:r>
      <w:r w:rsidRPr="000B2908">
        <w:rPr>
          <w:rFonts w:asciiTheme="minorHAnsi" w:hAnsiTheme="minorHAnsi"/>
          <w:sz w:val="16"/>
          <w:szCs w:val="16"/>
        </w:rPr>
        <w:t xml:space="preserve"> </w:t>
      </w:r>
      <w:proofErr w:type="spellStart"/>
      <w:r w:rsidRPr="000B2908">
        <w:rPr>
          <w:rFonts w:asciiTheme="minorHAnsi" w:eastAsia="Times New Roman" w:hAnsiTheme="minorHAnsi" w:cs="Times New Roman"/>
          <w:noProof w:val="0"/>
          <w:sz w:val="16"/>
          <w:szCs w:val="16"/>
          <w:lang w:val="en-US" w:eastAsia="en-US"/>
        </w:rPr>
        <w:t>Balmana</w:t>
      </w:r>
      <w:proofErr w:type="spellEnd"/>
      <w:r w:rsidRPr="000B2908">
        <w:rPr>
          <w:rFonts w:asciiTheme="minorHAnsi" w:eastAsia="Times New Roman" w:hAnsiTheme="minorHAnsi" w:cs="Times New Roman"/>
          <w:noProof w:val="0"/>
          <w:sz w:val="16"/>
          <w:szCs w:val="16"/>
          <w:lang w:val="en-US" w:eastAsia="en-US"/>
        </w:rPr>
        <w:t xml:space="preserve"> J, </w:t>
      </w:r>
      <w:proofErr w:type="spellStart"/>
      <w:r w:rsidRPr="000B2908">
        <w:rPr>
          <w:rFonts w:asciiTheme="minorHAnsi" w:eastAsia="Times New Roman" w:hAnsiTheme="minorHAnsi" w:cs="Times New Roman"/>
          <w:noProof w:val="0"/>
          <w:sz w:val="16"/>
          <w:szCs w:val="16"/>
          <w:lang w:val="en-US" w:eastAsia="en-US"/>
        </w:rPr>
        <w:t>Diez</w:t>
      </w:r>
      <w:proofErr w:type="spellEnd"/>
      <w:r w:rsidRPr="000B2908">
        <w:rPr>
          <w:rFonts w:asciiTheme="minorHAnsi" w:eastAsia="Times New Roman" w:hAnsiTheme="minorHAnsi" w:cs="Times New Roman"/>
          <w:noProof w:val="0"/>
          <w:sz w:val="16"/>
          <w:szCs w:val="16"/>
          <w:lang w:val="en-US" w:eastAsia="en-US"/>
        </w:rPr>
        <w:t xml:space="preserve"> O, Rubio IT, Cardoso F, ESMO Guidelines Working Group. BRCA in breast cancer: </w:t>
      </w:r>
    </w:p>
    <w:p w14:paraId="6544B197" w14:textId="77777777" w:rsidR="001F14C5" w:rsidRPr="000B2908" w:rsidRDefault="001F14C5" w:rsidP="000B2908">
      <w:pPr>
        <w:pStyle w:val="EndNoteBibliography"/>
        <w:spacing w:after="0"/>
        <w:ind w:left="720" w:hanging="720"/>
        <w:rPr>
          <w:rFonts w:asciiTheme="minorHAnsi" w:hAnsiTheme="minorHAnsi"/>
          <w:sz w:val="16"/>
          <w:szCs w:val="16"/>
        </w:rPr>
      </w:pPr>
      <w:r w:rsidRPr="000B2908">
        <w:rPr>
          <w:rFonts w:asciiTheme="minorHAnsi" w:eastAsia="Times New Roman" w:hAnsiTheme="minorHAnsi" w:cs="Times New Roman"/>
          <w:noProof w:val="0"/>
          <w:sz w:val="16"/>
          <w:szCs w:val="16"/>
          <w:lang w:val="en-US" w:eastAsia="en-US"/>
        </w:rPr>
        <w:t xml:space="preserve">ESMO Clinical Practice Guidelines. Ann. </w:t>
      </w:r>
      <w:proofErr w:type="spellStart"/>
      <w:r w:rsidRPr="000B2908">
        <w:rPr>
          <w:rFonts w:asciiTheme="minorHAnsi" w:eastAsia="Times New Roman" w:hAnsiTheme="minorHAnsi" w:cs="Times New Roman"/>
          <w:noProof w:val="0"/>
          <w:sz w:val="16"/>
          <w:szCs w:val="16"/>
          <w:lang w:val="en-US" w:eastAsia="en-US"/>
        </w:rPr>
        <w:t>Oncol</w:t>
      </w:r>
      <w:proofErr w:type="spellEnd"/>
      <w:r w:rsidRPr="000B2908">
        <w:rPr>
          <w:rFonts w:asciiTheme="minorHAnsi" w:eastAsia="Times New Roman" w:hAnsiTheme="minorHAnsi" w:cs="Times New Roman"/>
          <w:noProof w:val="0"/>
          <w:sz w:val="16"/>
          <w:szCs w:val="16"/>
          <w:lang w:val="en-US" w:eastAsia="en-US"/>
        </w:rPr>
        <w:t>. 2011;22(</w:t>
      </w:r>
      <w:proofErr w:type="spellStart"/>
      <w:r w:rsidRPr="000B2908">
        <w:rPr>
          <w:rFonts w:asciiTheme="minorHAnsi" w:eastAsia="Times New Roman" w:hAnsiTheme="minorHAnsi" w:cs="Times New Roman"/>
          <w:noProof w:val="0"/>
          <w:sz w:val="16"/>
          <w:szCs w:val="16"/>
          <w:lang w:val="en-US" w:eastAsia="en-US"/>
        </w:rPr>
        <w:t>Suppl</w:t>
      </w:r>
      <w:proofErr w:type="spellEnd"/>
      <w:r w:rsidRPr="000B2908">
        <w:rPr>
          <w:rFonts w:asciiTheme="minorHAnsi" w:eastAsia="Times New Roman" w:hAnsiTheme="minorHAnsi" w:cs="Times New Roman"/>
          <w:noProof w:val="0"/>
          <w:sz w:val="16"/>
          <w:szCs w:val="16"/>
          <w:lang w:val="en-US" w:eastAsia="en-US"/>
        </w:rPr>
        <w:t xml:space="preserve"> 6):vi31-34.</w:t>
      </w:r>
    </w:p>
  </w:footnote>
  <w:footnote w:id="3">
    <w:p w14:paraId="175DEAFD" w14:textId="77777777" w:rsidR="001F14C5" w:rsidRPr="000B2908" w:rsidRDefault="001F14C5" w:rsidP="000B2908">
      <w:pPr>
        <w:pStyle w:val="EndNoteBibliography"/>
        <w:spacing w:after="0"/>
        <w:ind w:left="720" w:hanging="720"/>
        <w:rPr>
          <w:rFonts w:asciiTheme="minorHAnsi" w:eastAsia="Times New Roman" w:hAnsiTheme="minorHAnsi" w:cs="Times New Roman"/>
          <w:noProof w:val="0"/>
          <w:sz w:val="16"/>
          <w:szCs w:val="16"/>
          <w:lang w:val="en-US" w:eastAsia="en-US"/>
        </w:rPr>
      </w:pPr>
      <w:r w:rsidRPr="000B2908">
        <w:rPr>
          <w:rStyle w:val="FootnoteReference"/>
          <w:rFonts w:asciiTheme="minorHAnsi" w:hAnsiTheme="minorHAnsi"/>
          <w:sz w:val="16"/>
          <w:szCs w:val="16"/>
        </w:rPr>
        <w:footnoteRef/>
      </w:r>
      <w:r w:rsidRPr="000B2908">
        <w:rPr>
          <w:rFonts w:asciiTheme="minorHAnsi" w:hAnsiTheme="minorHAnsi"/>
          <w:sz w:val="16"/>
          <w:szCs w:val="16"/>
        </w:rPr>
        <w:t xml:space="preserve"> </w:t>
      </w:r>
      <w:proofErr w:type="spellStart"/>
      <w:r w:rsidRPr="000B2908">
        <w:rPr>
          <w:rFonts w:asciiTheme="minorHAnsi" w:eastAsia="Times New Roman" w:hAnsiTheme="minorHAnsi" w:cs="Times New Roman"/>
          <w:noProof w:val="0"/>
          <w:sz w:val="16"/>
          <w:szCs w:val="16"/>
          <w:lang w:val="en-US" w:eastAsia="en-US"/>
        </w:rPr>
        <w:t>Balmana</w:t>
      </w:r>
      <w:proofErr w:type="spellEnd"/>
      <w:r w:rsidRPr="000B2908">
        <w:rPr>
          <w:rFonts w:asciiTheme="minorHAnsi" w:eastAsia="Times New Roman" w:hAnsiTheme="minorHAnsi" w:cs="Times New Roman"/>
          <w:noProof w:val="0"/>
          <w:sz w:val="16"/>
          <w:szCs w:val="16"/>
          <w:lang w:val="en-US" w:eastAsia="en-US"/>
        </w:rPr>
        <w:t xml:space="preserve"> J, </w:t>
      </w:r>
      <w:proofErr w:type="spellStart"/>
      <w:r w:rsidRPr="000B2908">
        <w:rPr>
          <w:rFonts w:asciiTheme="minorHAnsi" w:eastAsia="Times New Roman" w:hAnsiTheme="minorHAnsi" w:cs="Times New Roman"/>
          <w:noProof w:val="0"/>
          <w:sz w:val="16"/>
          <w:szCs w:val="16"/>
          <w:lang w:val="en-US" w:eastAsia="en-US"/>
        </w:rPr>
        <w:t>Diez</w:t>
      </w:r>
      <w:proofErr w:type="spellEnd"/>
      <w:r w:rsidRPr="000B2908">
        <w:rPr>
          <w:rFonts w:asciiTheme="minorHAnsi" w:eastAsia="Times New Roman" w:hAnsiTheme="minorHAnsi" w:cs="Times New Roman"/>
          <w:noProof w:val="0"/>
          <w:sz w:val="16"/>
          <w:szCs w:val="16"/>
          <w:lang w:val="en-US" w:eastAsia="en-US"/>
        </w:rPr>
        <w:t xml:space="preserve"> O, Rubio IT, Cardoso F, ESMO Guidelines Working Group. BRCA in breast cancer: </w:t>
      </w:r>
    </w:p>
    <w:p w14:paraId="090CAC6D" w14:textId="77777777" w:rsidR="001F14C5" w:rsidRPr="000B2908" w:rsidRDefault="001F14C5" w:rsidP="000B2908">
      <w:pPr>
        <w:pStyle w:val="EndNoteBibliography"/>
        <w:spacing w:after="0"/>
        <w:ind w:left="720" w:hanging="720"/>
        <w:rPr>
          <w:rFonts w:asciiTheme="minorHAnsi" w:hAnsiTheme="minorHAnsi"/>
          <w:sz w:val="16"/>
          <w:szCs w:val="16"/>
        </w:rPr>
      </w:pPr>
      <w:r w:rsidRPr="000B2908">
        <w:rPr>
          <w:rFonts w:asciiTheme="minorHAnsi" w:eastAsia="Times New Roman" w:hAnsiTheme="minorHAnsi" w:cs="Times New Roman"/>
          <w:noProof w:val="0"/>
          <w:sz w:val="16"/>
          <w:szCs w:val="16"/>
          <w:lang w:val="en-US" w:eastAsia="en-US"/>
        </w:rPr>
        <w:t xml:space="preserve">ESMO Clinical Practice Guidelines. Ann. </w:t>
      </w:r>
      <w:proofErr w:type="spellStart"/>
      <w:r w:rsidRPr="000B2908">
        <w:rPr>
          <w:rFonts w:asciiTheme="minorHAnsi" w:eastAsia="Times New Roman" w:hAnsiTheme="minorHAnsi" w:cs="Times New Roman"/>
          <w:noProof w:val="0"/>
          <w:sz w:val="16"/>
          <w:szCs w:val="16"/>
          <w:lang w:val="en-US" w:eastAsia="en-US"/>
        </w:rPr>
        <w:t>Oncol</w:t>
      </w:r>
      <w:proofErr w:type="spellEnd"/>
      <w:r w:rsidRPr="000B2908">
        <w:rPr>
          <w:rFonts w:asciiTheme="minorHAnsi" w:eastAsia="Times New Roman" w:hAnsiTheme="minorHAnsi" w:cs="Times New Roman"/>
          <w:noProof w:val="0"/>
          <w:sz w:val="16"/>
          <w:szCs w:val="16"/>
          <w:lang w:val="en-US" w:eastAsia="en-US"/>
        </w:rPr>
        <w:t>. 2011;22(</w:t>
      </w:r>
      <w:proofErr w:type="spellStart"/>
      <w:r w:rsidRPr="000B2908">
        <w:rPr>
          <w:rFonts w:asciiTheme="minorHAnsi" w:eastAsia="Times New Roman" w:hAnsiTheme="minorHAnsi" w:cs="Times New Roman"/>
          <w:noProof w:val="0"/>
          <w:sz w:val="16"/>
          <w:szCs w:val="16"/>
          <w:lang w:val="en-US" w:eastAsia="en-US"/>
        </w:rPr>
        <w:t>Suppl</w:t>
      </w:r>
      <w:proofErr w:type="spellEnd"/>
      <w:r w:rsidRPr="000B2908">
        <w:rPr>
          <w:rFonts w:asciiTheme="minorHAnsi" w:eastAsia="Times New Roman" w:hAnsiTheme="minorHAnsi" w:cs="Times New Roman"/>
          <w:noProof w:val="0"/>
          <w:sz w:val="16"/>
          <w:szCs w:val="16"/>
          <w:lang w:val="en-US" w:eastAsia="en-US"/>
        </w:rPr>
        <w:t xml:space="preserve"> 6):vi31-34.</w:t>
      </w:r>
    </w:p>
  </w:footnote>
  <w:footnote w:id="4">
    <w:p w14:paraId="463F9422" w14:textId="77777777" w:rsidR="001F14C5" w:rsidRPr="000B2908" w:rsidRDefault="001F14C5">
      <w:pPr>
        <w:pStyle w:val="FootnoteText"/>
      </w:pPr>
      <w:r>
        <w:rPr>
          <w:rStyle w:val="FootnoteReference"/>
        </w:rPr>
        <w:footnoteRef/>
      </w:r>
      <w:r>
        <w:t xml:space="preserve"> </w:t>
      </w:r>
      <w:r w:rsidRPr="000B2908">
        <w:rPr>
          <w:rFonts w:asciiTheme="minorHAnsi" w:hAnsiTheme="minorHAnsi"/>
          <w:sz w:val="16"/>
          <w:szCs w:val="16"/>
        </w:rPr>
        <w:t xml:space="preserve">Antoniou A, </w:t>
      </w:r>
      <w:proofErr w:type="spellStart"/>
      <w:r w:rsidRPr="000B2908">
        <w:rPr>
          <w:rFonts w:asciiTheme="minorHAnsi" w:hAnsiTheme="minorHAnsi"/>
          <w:sz w:val="16"/>
          <w:szCs w:val="16"/>
        </w:rPr>
        <w:t>Pharoah</w:t>
      </w:r>
      <w:proofErr w:type="spellEnd"/>
      <w:r w:rsidRPr="000B2908">
        <w:rPr>
          <w:rFonts w:asciiTheme="minorHAnsi" w:hAnsiTheme="minorHAnsi"/>
          <w:sz w:val="16"/>
          <w:szCs w:val="16"/>
        </w:rPr>
        <w:t xml:space="preserve"> PD, </w:t>
      </w:r>
      <w:proofErr w:type="spellStart"/>
      <w:r w:rsidRPr="000B2908">
        <w:rPr>
          <w:rFonts w:asciiTheme="minorHAnsi" w:hAnsiTheme="minorHAnsi"/>
          <w:sz w:val="16"/>
          <w:szCs w:val="16"/>
        </w:rPr>
        <w:t>Narod</w:t>
      </w:r>
      <w:proofErr w:type="spellEnd"/>
      <w:r w:rsidRPr="000B2908">
        <w:rPr>
          <w:rFonts w:asciiTheme="minorHAnsi" w:hAnsiTheme="minorHAnsi"/>
          <w:sz w:val="16"/>
          <w:szCs w:val="16"/>
        </w:rPr>
        <w:t xml:space="preserve"> S, et al. Average risks of breast and ovarian cancer associated with BRCA1 or BRCA2 mutations detected in case series unselected for family history: a combined analysis of 22 studies. Am. J. Hum. Genet. 2003;72(5):1117-1130</w:t>
      </w:r>
      <w:r w:rsidRPr="00FE7935">
        <w:t>.</w:t>
      </w:r>
    </w:p>
  </w:footnote>
  <w:footnote w:id="5">
    <w:p w14:paraId="1022C195" w14:textId="77777777" w:rsidR="001F14C5" w:rsidRPr="000B2908" w:rsidRDefault="001F14C5">
      <w:pPr>
        <w:pStyle w:val="FootnoteText"/>
        <w:rPr>
          <w:rFonts w:asciiTheme="minorHAnsi" w:hAnsiTheme="minorHAnsi"/>
          <w:sz w:val="16"/>
          <w:szCs w:val="16"/>
        </w:rPr>
      </w:pPr>
      <w:r>
        <w:rPr>
          <w:rStyle w:val="FootnoteReference"/>
        </w:rPr>
        <w:footnoteRef/>
      </w:r>
      <w:r>
        <w:t xml:space="preserve"> </w:t>
      </w:r>
      <w:r w:rsidRPr="000B2908">
        <w:rPr>
          <w:rFonts w:asciiTheme="minorHAnsi" w:hAnsiTheme="minorHAnsi"/>
          <w:sz w:val="16"/>
          <w:szCs w:val="16"/>
        </w:rPr>
        <w:t xml:space="preserve">Chen S, </w:t>
      </w:r>
      <w:proofErr w:type="spellStart"/>
      <w:r w:rsidRPr="000B2908">
        <w:rPr>
          <w:rFonts w:asciiTheme="minorHAnsi" w:hAnsiTheme="minorHAnsi"/>
          <w:sz w:val="16"/>
          <w:szCs w:val="16"/>
        </w:rPr>
        <w:t>Parmigiani</w:t>
      </w:r>
      <w:proofErr w:type="spellEnd"/>
      <w:r w:rsidRPr="000B2908">
        <w:rPr>
          <w:rFonts w:asciiTheme="minorHAnsi" w:hAnsiTheme="minorHAnsi"/>
          <w:sz w:val="16"/>
          <w:szCs w:val="16"/>
        </w:rPr>
        <w:t xml:space="preserve"> G. Meta-analysis of BRCA1 and BRCA2 penetrance. J. </w:t>
      </w:r>
      <w:proofErr w:type="spellStart"/>
      <w:r w:rsidRPr="000B2908">
        <w:rPr>
          <w:rFonts w:asciiTheme="minorHAnsi" w:hAnsiTheme="minorHAnsi"/>
          <w:sz w:val="16"/>
          <w:szCs w:val="16"/>
        </w:rPr>
        <w:t>Clin</w:t>
      </w:r>
      <w:proofErr w:type="spellEnd"/>
      <w:r w:rsidRPr="000B2908">
        <w:rPr>
          <w:rFonts w:asciiTheme="minorHAnsi" w:hAnsiTheme="minorHAnsi"/>
          <w:sz w:val="16"/>
          <w:szCs w:val="16"/>
        </w:rPr>
        <w:t xml:space="preserve">. </w:t>
      </w:r>
      <w:proofErr w:type="spellStart"/>
      <w:r w:rsidRPr="000B2908">
        <w:rPr>
          <w:rFonts w:asciiTheme="minorHAnsi" w:hAnsiTheme="minorHAnsi"/>
          <w:sz w:val="16"/>
          <w:szCs w:val="16"/>
        </w:rPr>
        <w:t>Oncol</w:t>
      </w:r>
      <w:proofErr w:type="spellEnd"/>
      <w:r w:rsidRPr="000B2908">
        <w:rPr>
          <w:rFonts w:asciiTheme="minorHAnsi" w:hAnsiTheme="minorHAnsi"/>
          <w:sz w:val="16"/>
          <w:szCs w:val="16"/>
        </w:rPr>
        <w:t>. 2007;25(11):1329-1333.</w:t>
      </w:r>
    </w:p>
  </w:footnote>
  <w:footnote w:id="6">
    <w:p w14:paraId="206933D1" w14:textId="77777777" w:rsidR="001F14C5" w:rsidRPr="000B2908" w:rsidRDefault="001F14C5" w:rsidP="00554257">
      <w:pPr>
        <w:pStyle w:val="FootnoteText"/>
        <w:rPr>
          <w:lang w:val="en-AU"/>
        </w:rPr>
      </w:pPr>
      <w:r>
        <w:rPr>
          <w:rStyle w:val="FootnoteReference"/>
        </w:rPr>
        <w:footnoteRef/>
      </w:r>
      <w:r>
        <w:t xml:space="preserve"> </w:t>
      </w:r>
      <w:r w:rsidRPr="000B2908">
        <w:rPr>
          <w:rFonts w:asciiTheme="minorHAnsi" w:hAnsiTheme="minorHAnsi"/>
          <w:sz w:val="16"/>
          <w:szCs w:val="16"/>
        </w:rPr>
        <w:t>Villarreal-Garza C  et al. Cancer 2015; February 1:372–378</w:t>
      </w:r>
    </w:p>
  </w:footnote>
  <w:footnote w:id="7">
    <w:p w14:paraId="17855AC4" w14:textId="7AEA35E4" w:rsidR="001F14C5" w:rsidRPr="00527E47" w:rsidRDefault="001F14C5" w:rsidP="00863824">
      <w:pPr>
        <w:pStyle w:val="FootnoteText"/>
        <w:rPr>
          <w:rFonts w:asciiTheme="minorHAnsi" w:hAnsiTheme="minorHAnsi"/>
          <w:sz w:val="16"/>
          <w:szCs w:val="16"/>
          <w:lang w:val="en-AU"/>
        </w:rPr>
      </w:pPr>
      <w:r w:rsidRPr="00527E47">
        <w:rPr>
          <w:rStyle w:val="FootnoteReference"/>
          <w:rFonts w:asciiTheme="minorHAnsi" w:hAnsiTheme="minorHAnsi"/>
          <w:sz w:val="16"/>
          <w:szCs w:val="16"/>
        </w:rPr>
        <w:footnoteRef/>
      </w:r>
      <w:r w:rsidRPr="00527E47">
        <w:rPr>
          <w:rFonts w:asciiTheme="minorHAnsi" w:hAnsiTheme="minorHAnsi"/>
          <w:sz w:val="16"/>
          <w:szCs w:val="16"/>
        </w:rPr>
        <w:t xml:space="preserve"> </w:t>
      </w:r>
      <w:r w:rsidRPr="00527E47">
        <w:rPr>
          <w:rFonts w:asciiTheme="minorHAnsi" w:hAnsiTheme="minorHAnsi" w:cs="Arial"/>
          <w:noProof/>
          <w:sz w:val="16"/>
          <w:szCs w:val="16"/>
        </w:rPr>
        <w:t xml:space="preserve">eviQ Cancer Treatments Online. </w:t>
      </w:r>
      <w:r w:rsidRPr="00527E47">
        <w:rPr>
          <w:rFonts w:asciiTheme="minorHAnsi" w:hAnsiTheme="minorHAnsi" w:cs="Arial"/>
          <w:i/>
          <w:noProof/>
          <w:sz w:val="16"/>
          <w:szCs w:val="16"/>
        </w:rPr>
        <w:t>Genetic Testing for Heritable Mutations in the BRCA1 and BRCA2 Genes</w:t>
      </w:r>
      <w:r w:rsidRPr="00527E47">
        <w:rPr>
          <w:rFonts w:asciiTheme="minorHAnsi" w:hAnsiTheme="minorHAnsi" w:cs="Arial"/>
          <w:noProof/>
          <w:sz w:val="16"/>
          <w:szCs w:val="16"/>
        </w:rPr>
        <w:t xml:space="preserve"> 2014; https://</w:t>
      </w:r>
      <w:hyperlink r:id="rId1" w:tooltip="Link to eviQ Cancer Treatments Online" w:history="1">
        <w:r w:rsidRPr="00527E47">
          <w:rPr>
            <w:rStyle w:val="Hyperlink"/>
            <w:rFonts w:asciiTheme="minorHAnsi" w:hAnsiTheme="minorHAnsi" w:cs="Arial"/>
            <w:noProof/>
            <w:sz w:val="16"/>
            <w:szCs w:val="16"/>
          </w:rPr>
          <w:t>www.eviq.org.au/Protocol/tabid/66/categoryid/440/id/620/Genetic%20Testing%20for%20Heritable%20Mutations%20in%20the%20BRCA1%20and%20BRCA2%20Genes.aspx</w:t>
        </w:r>
      </w:hyperlink>
    </w:p>
  </w:footnote>
  <w:footnote w:id="8">
    <w:p w14:paraId="2A18A3CA" w14:textId="77777777" w:rsidR="001F14C5" w:rsidRPr="00910915" w:rsidRDefault="001F14C5">
      <w:pPr>
        <w:pStyle w:val="FootnoteText"/>
        <w:rPr>
          <w:rFonts w:asciiTheme="minorHAnsi" w:hAnsiTheme="minorHAnsi"/>
          <w:sz w:val="16"/>
          <w:szCs w:val="16"/>
        </w:rPr>
      </w:pPr>
      <w:r>
        <w:rPr>
          <w:rStyle w:val="FootnoteReference"/>
        </w:rPr>
        <w:footnoteRef/>
      </w:r>
      <w:r>
        <w:t xml:space="preserve"> </w:t>
      </w:r>
      <w:proofErr w:type="spellStart"/>
      <w:r w:rsidRPr="00910915">
        <w:rPr>
          <w:rFonts w:asciiTheme="minorHAnsi" w:hAnsiTheme="minorHAnsi"/>
          <w:sz w:val="16"/>
          <w:szCs w:val="16"/>
        </w:rPr>
        <w:t>Isakoff</w:t>
      </w:r>
      <w:proofErr w:type="spellEnd"/>
      <w:r w:rsidRPr="00910915">
        <w:rPr>
          <w:rFonts w:asciiTheme="minorHAnsi" w:hAnsiTheme="minorHAnsi"/>
          <w:sz w:val="16"/>
          <w:szCs w:val="16"/>
        </w:rPr>
        <w:t xml:space="preserve"> SJ, Mayer EL, He L, et al. TBCRC009: A Multicenter Phase II Clinical Trial of Platinum Monotherapy </w:t>
      </w:r>
      <w:proofErr w:type="gramStart"/>
      <w:r w:rsidRPr="00910915">
        <w:rPr>
          <w:rFonts w:asciiTheme="minorHAnsi" w:hAnsiTheme="minorHAnsi"/>
          <w:sz w:val="16"/>
          <w:szCs w:val="16"/>
        </w:rPr>
        <w:t>With</w:t>
      </w:r>
      <w:proofErr w:type="gramEnd"/>
      <w:r w:rsidRPr="00910915">
        <w:rPr>
          <w:rFonts w:asciiTheme="minorHAnsi" w:hAnsiTheme="minorHAnsi"/>
          <w:sz w:val="16"/>
          <w:szCs w:val="16"/>
        </w:rPr>
        <w:t xml:space="preserve"> Biomarker Assessment in Metastatic Triple-Negative Breast Cancer. J. </w:t>
      </w:r>
      <w:proofErr w:type="spellStart"/>
      <w:r w:rsidRPr="00910915">
        <w:rPr>
          <w:rFonts w:asciiTheme="minorHAnsi" w:hAnsiTheme="minorHAnsi"/>
          <w:sz w:val="16"/>
          <w:szCs w:val="16"/>
        </w:rPr>
        <w:t>Clin</w:t>
      </w:r>
      <w:proofErr w:type="spellEnd"/>
      <w:r w:rsidRPr="00910915">
        <w:rPr>
          <w:rFonts w:asciiTheme="minorHAnsi" w:hAnsiTheme="minorHAnsi"/>
          <w:sz w:val="16"/>
          <w:szCs w:val="16"/>
        </w:rPr>
        <w:t xml:space="preserve">. </w:t>
      </w:r>
      <w:proofErr w:type="spellStart"/>
      <w:r w:rsidRPr="00910915">
        <w:rPr>
          <w:rFonts w:asciiTheme="minorHAnsi" w:hAnsiTheme="minorHAnsi"/>
          <w:sz w:val="16"/>
          <w:szCs w:val="16"/>
        </w:rPr>
        <w:t>Oncol</w:t>
      </w:r>
      <w:proofErr w:type="spellEnd"/>
      <w:r w:rsidRPr="00910915">
        <w:rPr>
          <w:rFonts w:asciiTheme="minorHAnsi" w:hAnsiTheme="minorHAnsi"/>
          <w:sz w:val="16"/>
          <w:szCs w:val="16"/>
        </w:rPr>
        <w:t>. 2015;33(17):1902-1909.</w:t>
      </w:r>
    </w:p>
  </w:footnote>
  <w:footnote w:id="9">
    <w:p w14:paraId="0E505626" w14:textId="77777777" w:rsidR="001F14C5" w:rsidRPr="00910915" w:rsidRDefault="001F14C5">
      <w:pPr>
        <w:pStyle w:val="FootnoteText"/>
        <w:rPr>
          <w:lang w:val="en-AU"/>
        </w:rPr>
      </w:pPr>
      <w:r>
        <w:rPr>
          <w:rStyle w:val="FootnoteReference"/>
        </w:rPr>
        <w:footnoteRef/>
      </w:r>
      <w:r>
        <w:t xml:space="preserve"> </w:t>
      </w:r>
      <w:proofErr w:type="spellStart"/>
      <w:r w:rsidRPr="00910915">
        <w:rPr>
          <w:rFonts w:asciiTheme="minorHAnsi" w:hAnsiTheme="minorHAnsi"/>
          <w:sz w:val="16"/>
          <w:szCs w:val="16"/>
        </w:rPr>
        <w:t>Tutt</w:t>
      </w:r>
      <w:proofErr w:type="spellEnd"/>
      <w:r w:rsidRPr="00910915">
        <w:rPr>
          <w:rFonts w:asciiTheme="minorHAnsi" w:hAnsiTheme="minorHAnsi"/>
          <w:sz w:val="16"/>
          <w:szCs w:val="16"/>
        </w:rPr>
        <w:t xml:space="preserve"> A, Robson M, Garber JE, et al. Oral poly(ADP-ribose) polymerase inhibitor </w:t>
      </w:r>
      <w:proofErr w:type="spellStart"/>
      <w:r w:rsidRPr="00910915">
        <w:rPr>
          <w:rFonts w:asciiTheme="minorHAnsi" w:hAnsiTheme="minorHAnsi"/>
          <w:sz w:val="16"/>
          <w:szCs w:val="16"/>
        </w:rPr>
        <w:t>olaparib</w:t>
      </w:r>
      <w:proofErr w:type="spellEnd"/>
      <w:r w:rsidRPr="00910915">
        <w:rPr>
          <w:rFonts w:asciiTheme="minorHAnsi" w:hAnsiTheme="minorHAnsi"/>
          <w:sz w:val="16"/>
          <w:szCs w:val="16"/>
        </w:rPr>
        <w:t xml:space="preserve"> in patients with BRCA1 or BRCA2 mutations and advanced breast cancer: a proof-of-concept trial. Lancet. 2010;376(9737):235-244</w:t>
      </w:r>
    </w:p>
  </w:footnote>
  <w:footnote w:id="10">
    <w:p w14:paraId="3B05BA82" w14:textId="77777777" w:rsidR="001F14C5" w:rsidRDefault="001F14C5" w:rsidP="00E60ED8">
      <w:pPr>
        <w:pStyle w:val="EndNoteBibliography"/>
        <w:spacing w:after="0"/>
        <w:ind w:left="720" w:hanging="720"/>
        <w:rPr>
          <w:rFonts w:asciiTheme="minorHAnsi" w:eastAsia="Times New Roman" w:hAnsiTheme="minorHAnsi" w:cs="Times New Roman"/>
          <w:noProof w:val="0"/>
          <w:sz w:val="16"/>
          <w:szCs w:val="16"/>
          <w:lang w:val="en-US" w:eastAsia="en-US"/>
        </w:rPr>
      </w:pPr>
      <w:r w:rsidRPr="00910915">
        <w:rPr>
          <w:rStyle w:val="FootnoteReference"/>
          <w:rFonts w:asciiTheme="minorHAnsi" w:hAnsiTheme="minorHAnsi"/>
          <w:sz w:val="18"/>
          <w:szCs w:val="18"/>
        </w:rPr>
        <w:footnoteRef/>
      </w:r>
      <w:r>
        <w:t xml:space="preserve"> </w:t>
      </w:r>
      <w:proofErr w:type="spellStart"/>
      <w:r w:rsidRPr="00910915">
        <w:rPr>
          <w:rFonts w:asciiTheme="minorHAnsi" w:eastAsia="Times New Roman" w:hAnsiTheme="minorHAnsi" w:cs="Times New Roman"/>
          <w:noProof w:val="0"/>
          <w:sz w:val="16"/>
          <w:szCs w:val="16"/>
          <w:lang w:val="en-US" w:eastAsia="en-US"/>
        </w:rPr>
        <w:t>Tutt</w:t>
      </w:r>
      <w:proofErr w:type="spellEnd"/>
      <w:r w:rsidRPr="00910915">
        <w:rPr>
          <w:rFonts w:asciiTheme="minorHAnsi" w:eastAsia="Times New Roman" w:hAnsiTheme="minorHAnsi" w:cs="Times New Roman"/>
          <w:noProof w:val="0"/>
          <w:sz w:val="16"/>
          <w:szCs w:val="16"/>
          <w:lang w:val="en-US" w:eastAsia="en-US"/>
        </w:rPr>
        <w:t xml:space="preserve"> A, Ellis PA, Kilburn LL, et al. The TNT trial: A randomized phase III trial of carboplatin (C) compared </w:t>
      </w:r>
      <w:r>
        <w:rPr>
          <w:rFonts w:asciiTheme="minorHAnsi" w:eastAsia="Times New Roman" w:hAnsiTheme="minorHAnsi" w:cs="Times New Roman"/>
          <w:noProof w:val="0"/>
          <w:sz w:val="16"/>
          <w:szCs w:val="16"/>
          <w:lang w:val="en-US" w:eastAsia="en-US"/>
        </w:rPr>
        <w:t xml:space="preserve">with docetaxel (D) for </w:t>
      </w:r>
    </w:p>
    <w:p w14:paraId="65D0EABC" w14:textId="77777777" w:rsidR="001F14C5" w:rsidRDefault="001F14C5" w:rsidP="00E60ED8">
      <w:pPr>
        <w:pStyle w:val="EndNoteBibliography"/>
        <w:spacing w:after="0"/>
        <w:ind w:left="720" w:hanging="720"/>
        <w:rPr>
          <w:rFonts w:asciiTheme="minorHAnsi" w:eastAsia="Times New Roman" w:hAnsiTheme="minorHAnsi" w:cs="Times New Roman"/>
          <w:noProof w:val="0"/>
          <w:sz w:val="16"/>
          <w:szCs w:val="16"/>
          <w:lang w:val="en-US" w:eastAsia="en-US"/>
        </w:rPr>
      </w:pPr>
      <w:r>
        <w:rPr>
          <w:rFonts w:asciiTheme="minorHAnsi" w:eastAsia="Times New Roman" w:hAnsiTheme="minorHAnsi" w:cs="Times New Roman"/>
          <w:noProof w:val="0"/>
          <w:sz w:val="16"/>
          <w:szCs w:val="16"/>
          <w:lang w:val="en-US" w:eastAsia="en-US"/>
        </w:rPr>
        <w:t xml:space="preserve">patients </w:t>
      </w:r>
      <w:r w:rsidRPr="00910915">
        <w:rPr>
          <w:rFonts w:asciiTheme="minorHAnsi" w:eastAsia="Times New Roman" w:hAnsiTheme="minorHAnsi" w:cs="Times New Roman"/>
          <w:noProof w:val="0"/>
          <w:sz w:val="16"/>
          <w:szCs w:val="16"/>
          <w:lang w:val="en-US" w:eastAsia="en-US"/>
        </w:rPr>
        <w:t>with metastatic or recurrent locally advanced triple negative or BRCA1/2 breast cancer. Presented at the San Antonio</w:t>
      </w:r>
    </w:p>
    <w:p w14:paraId="1ACA2283" w14:textId="77777777" w:rsidR="001F14C5" w:rsidRPr="00554257" w:rsidRDefault="001F14C5" w:rsidP="00554257">
      <w:pPr>
        <w:pStyle w:val="EndNoteBibliography"/>
        <w:spacing w:after="0"/>
        <w:ind w:left="720" w:hanging="720"/>
      </w:pPr>
      <w:r w:rsidRPr="00910915">
        <w:rPr>
          <w:rFonts w:asciiTheme="minorHAnsi" w:eastAsia="Times New Roman" w:hAnsiTheme="minorHAnsi" w:cs="Times New Roman"/>
          <w:noProof w:val="0"/>
          <w:sz w:val="16"/>
          <w:szCs w:val="16"/>
          <w:lang w:val="en-US" w:eastAsia="en-US"/>
        </w:rPr>
        <w:t xml:space="preserve"> Breast Cancer Symposium (SABCS), 9-13 December, San Antonio, </w:t>
      </w:r>
      <w:proofErr w:type="spellStart"/>
      <w:r w:rsidRPr="00910915">
        <w:rPr>
          <w:rFonts w:asciiTheme="minorHAnsi" w:eastAsia="Times New Roman" w:hAnsiTheme="minorHAnsi" w:cs="Times New Roman"/>
          <w:noProof w:val="0"/>
          <w:sz w:val="16"/>
          <w:szCs w:val="16"/>
          <w:lang w:val="en-US" w:eastAsia="en-US"/>
        </w:rPr>
        <w:t>Tx</w:t>
      </w:r>
      <w:proofErr w:type="spellEnd"/>
      <w:r w:rsidRPr="00910915">
        <w:rPr>
          <w:rFonts w:asciiTheme="minorHAnsi" w:eastAsia="Times New Roman" w:hAnsiTheme="minorHAnsi" w:cs="Times New Roman"/>
          <w:noProof w:val="0"/>
          <w:sz w:val="16"/>
          <w:szCs w:val="16"/>
          <w:lang w:val="en-US" w:eastAsia="en-US"/>
        </w:rPr>
        <w:t>. 2014.</w:t>
      </w:r>
    </w:p>
  </w:footnote>
  <w:footnote w:id="11">
    <w:p w14:paraId="579ACADD" w14:textId="77777777" w:rsidR="001F14C5" w:rsidRPr="00E60ED8" w:rsidRDefault="001F14C5">
      <w:pPr>
        <w:pStyle w:val="FootnoteText"/>
        <w:rPr>
          <w:rFonts w:asciiTheme="minorHAnsi" w:hAnsiTheme="minorHAnsi"/>
          <w:sz w:val="16"/>
          <w:szCs w:val="16"/>
          <w:lang w:val="en-AU"/>
        </w:rPr>
      </w:pPr>
      <w:r>
        <w:rPr>
          <w:rStyle w:val="FootnoteReference"/>
        </w:rPr>
        <w:footnoteRef/>
      </w:r>
      <w:r>
        <w:t xml:space="preserve"> </w:t>
      </w:r>
      <w:proofErr w:type="spellStart"/>
      <w:r w:rsidRPr="00E60ED8">
        <w:rPr>
          <w:rFonts w:asciiTheme="minorHAnsi" w:hAnsiTheme="minorHAnsi"/>
          <w:sz w:val="16"/>
          <w:szCs w:val="16"/>
        </w:rPr>
        <w:t>Petrucelli</w:t>
      </w:r>
      <w:proofErr w:type="spellEnd"/>
      <w:r w:rsidRPr="00E60ED8">
        <w:rPr>
          <w:rFonts w:asciiTheme="minorHAnsi" w:hAnsiTheme="minorHAnsi"/>
          <w:sz w:val="16"/>
          <w:szCs w:val="16"/>
        </w:rPr>
        <w:t xml:space="preserve"> N, Daly MB, Feldman GL. BRCA1 and BRCA2 Hereditary Breast and Ovarian Cancer. In: </w:t>
      </w:r>
      <w:proofErr w:type="spellStart"/>
      <w:r w:rsidRPr="00E60ED8">
        <w:rPr>
          <w:rFonts w:asciiTheme="minorHAnsi" w:hAnsiTheme="minorHAnsi"/>
          <w:sz w:val="16"/>
          <w:szCs w:val="16"/>
        </w:rPr>
        <w:t>Pagon</w:t>
      </w:r>
      <w:proofErr w:type="spellEnd"/>
      <w:r w:rsidRPr="00E60ED8">
        <w:rPr>
          <w:rFonts w:asciiTheme="minorHAnsi" w:hAnsiTheme="minorHAnsi"/>
          <w:sz w:val="16"/>
          <w:szCs w:val="16"/>
        </w:rPr>
        <w:t xml:space="preserve"> RA, Adam MP, </w:t>
      </w:r>
      <w:proofErr w:type="spellStart"/>
      <w:r w:rsidRPr="00E60ED8">
        <w:rPr>
          <w:rFonts w:asciiTheme="minorHAnsi" w:hAnsiTheme="minorHAnsi"/>
          <w:sz w:val="16"/>
          <w:szCs w:val="16"/>
        </w:rPr>
        <w:t>Ardinger</w:t>
      </w:r>
      <w:proofErr w:type="spellEnd"/>
      <w:r w:rsidRPr="00E60ED8">
        <w:rPr>
          <w:rFonts w:asciiTheme="minorHAnsi" w:hAnsiTheme="minorHAnsi"/>
          <w:sz w:val="16"/>
          <w:szCs w:val="16"/>
        </w:rPr>
        <w:t xml:space="preserve"> HH, et al., eds. </w:t>
      </w:r>
      <w:proofErr w:type="spellStart"/>
      <w:r w:rsidRPr="00E60ED8">
        <w:rPr>
          <w:rFonts w:asciiTheme="minorHAnsi" w:hAnsiTheme="minorHAnsi"/>
          <w:i/>
          <w:sz w:val="16"/>
          <w:szCs w:val="16"/>
        </w:rPr>
        <w:t>GeneReviews</w:t>
      </w:r>
      <w:proofErr w:type="spellEnd"/>
      <w:r w:rsidRPr="00E60ED8">
        <w:rPr>
          <w:rFonts w:asciiTheme="minorHAnsi" w:hAnsiTheme="minorHAnsi"/>
          <w:i/>
          <w:sz w:val="16"/>
          <w:szCs w:val="16"/>
        </w:rPr>
        <w:t>(R)</w:t>
      </w:r>
      <w:r w:rsidRPr="00E60ED8">
        <w:rPr>
          <w:rFonts w:asciiTheme="minorHAnsi" w:hAnsiTheme="minorHAnsi"/>
          <w:sz w:val="16"/>
          <w:szCs w:val="16"/>
        </w:rPr>
        <w:t>. Seattle (WA)1993.</w:t>
      </w:r>
    </w:p>
  </w:footnote>
  <w:footnote w:id="12">
    <w:p w14:paraId="144203A9" w14:textId="75FC3163" w:rsidR="001F14C5" w:rsidRPr="009B5639" w:rsidRDefault="001F14C5">
      <w:pPr>
        <w:pStyle w:val="FootnoteText"/>
        <w:rPr>
          <w:lang w:val="en-AU"/>
        </w:rPr>
      </w:pPr>
      <w:r>
        <w:rPr>
          <w:rStyle w:val="FootnoteReference"/>
        </w:rPr>
        <w:footnoteRef/>
      </w:r>
      <w:r>
        <w:t xml:space="preserve"> </w:t>
      </w:r>
      <w:r w:rsidRPr="009B5639">
        <w:rPr>
          <w:rFonts w:asciiTheme="minorHAnsi" w:hAnsiTheme="minorHAnsi" w:cs="Arial"/>
          <w:noProof/>
          <w:sz w:val="16"/>
          <w:szCs w:val="16"/>
        </w:rPr>
        <w:t xml:space="preserve">Therapeutic Goods Administration. </w:t>
      </w:r>
      <w:r w:rsidRPr="009B5639">
        <w:rPr>
          <w:rFonts w:asciiTheme="minorHAnsi" w:hAnsiTheme="minorHAnsi" w:cs="Arial"/>
          <w:i/>
          <w:noProof/>
          <w:sz w:val="16"/>
          <w:szCs w:val="16"/>
        </w:rPr>
        <w:t>Overview of the new regulatory framework for in vitro diagnostic medical devices (IVDs)</w:t>
      </w:r>
      <w:r w:rsidRPr="009B5639">
        <w:rPr>
          <w:rFonts w:asciiTheme="minorHAnsi" w:hAnsiTheme="minorHAnsi" w:cs="Arial"/>
          <w:noProof/>
          <w:sz w:val="16"/>
          <w:szCs w:val="16"/>
        </w:rPr>
        <w:t xml:space="preserve"> 2011; </w:t>
      </w:r>
      <w:hyperlink r:id="rId2" w:tooltip="Link to TGA website" w:history="1">
        <w:r w:rsidRPr="009B5639">
          <w:rPr>
            <w:rStyle w:val="Hyperlink"/>
            <w:rFonts w:asciiTheme="minorHAnsi" w:hAnsiTheme="minorHAnsi" w:cs="Arial"/>
            <w:noProof/>
            <w:sz w:val="16"/>
            <w:szCs w:val="16"/>
          </w:rPr>
          <w:t>http://www.tga.gov.au/industry/ivd-framework-overview.htm</w:t>
        </w:r>
      </w:hyperlink>
    </w:p>
  </w:footnote>
  <w:footnote w:id="13">
    <w:p w14:paraId="43932A29" w14:textId="2C1C06DA" w:rsidR="001F14C5" w:rsidRPr="00364FA9" w:rsidRDefault="001F14C5" w:rsidP="00EE3375">
      <w:pPr>
        <w:pStyle w:val="FootnoteText"/>
        <w:rPr>
          <w:rFonts w:asciiTheme="minorHAnsi" w:hAnsiTheme="minorHAnsi"/>
          <w:sz w:val="16"/>
          <w:szCs w:val="16"/>
        </w:rPr>
      </w:pPr>
      <w:r w:rsidRPr="00364FA9">
        <w:rPr>
          <w:rStyle w:val="FootnoteReference"/>
          <w:rFonts w:asciiTheme="minorHAnsi" w:hAnsiTheme="minorHAnsi"/>
          <w:sz w:val="16"/>
          <w:szCs w:val="16"/>
        </w:rPr>
        <w:footnoteRef/>
      </w:r>
      <w:r>
        <w:t xml:space="preserve"> </w:t>
      </w:r>
      <w:hyperlink r:id="rId3" w:tooltip="Link to bcna website" w:history="1">
        <w:r w:rsidRPr="00364FA9">
          <w:rPr>
            <w:rStyle w:val="Hyperlink"/>
            <w:rFonts w:asciiTheme="minorHAnsi" w:hAnsiTheme="minorHAnsi"/>
            <w:sz w:val="16"/>
            <w:szCs w:val="16"/>
          </w:rPr>
          <w:t>https://www.bcna.org.au/understanding-breast-cancer/</w:t>
        </w:r>
      </w:hyperlink>
    </w:p>
  </w:footnote>
  <w:footnote w:id="14">
    <w:p w14:paraId="7FC53078" w14:textId="565A53B2" w:rsidR="001F14C5" w:rsidRPr="00DD5DFC" w:rsidRDefault="001F14C5">
      <w:pPr>
        <w:pStyle w:val="FootnoteText"/>
        <w:rPr>
          <w:rFonts w:asciiTheme="minorHAnsi" w:hAnsiTheme="minorHAnsi"/>
          <w:sz w:val="18"/>
          <w:szCs w:val="18"/>
          <w:lang w:val="en-AU"/>
        </w:rPr>
      </w:pPr>
      <w:r w:rsidRPr="004D31AB">
        <w:rPr>
          <w:rStyle w:val="FootnoteReference"/>
          <w:rFonts w:asciiTheme="minorHAnsi" w:hAnsiTheme="minorHAnsi"/>
          <w:sz w:val="18"/>
          <w:szCs w:val="18"/>
        </w:rPr>
        <w:footnoteRef/>
      </w:r>
      <w:r>
        <w:t xml:space="preserve"> </w:t>
      </w:r>
      <w:r w:rsidRPr="00554257">
        <w:rPr>
          <w:rFonts w:asciiTheme="minorHAnsi" w:hAnsiTheme="minorHAnsi"/>
          <w:sz w:val="16"/>
          <w:szCs w:val="16"/>
          <w:lang w:val="en-AU"/>
        </w:rPr>
        <w:t xml:space="preserve">Global Status of Advanced/metastatic breast cancer 2005-2015 Decade report. </w:t>
      </w:r>
      <w:hyperlink r:id="rId4" w:tooltip="Link to breast cancer vision website" w:history="1">
        <w:r w:rsidRPr="00554257">
          <w:rPr>
            <w:rStyle w:val="Hyperlink"/>
            <w:rFonts w:asciiTheme="minorHAnsi" w:hAnsiTheme="minorHAnsi"/>
            <w:sz w:val="16"/>
            <w:szCs w:val="16"/>
            <w:lang w:val="en-AU"/>
          </w:rPr>
          <w:t>www.breastcancervision.com</w:t>
        </w:r>
      </w:hyperlink>
      <w:r w:rsidRPr="00DD5DFC">
        <w:rPr>
          <w:rFonts w:asciiTheme="minorHAnsi" w:hAnsiTheme="minorHAnsi"/>
          <w:sz w:val="18"/>
          <w:szCs w:val="18"/>
          <w:lang w:val="en-AU"/>
        </w:rPr>
        <w:t xml:space="preserve"> </w:t>
      </w:r>
    </w:p>
  </w:footnote>
  <w:footnote w:id="15">
    <w:p w14:paraId="4AE17A08" w14:textId="77777777" w:rsidR="001F14C5" w:rsidRPr="00DD5DFC" w:rsidRDefault="001F14C5">
      <w:pPr>
        <w:pStyle w:val="FootnoteText"/>
        <w:rPr>
          <w:rFonts w:asciiTheme="minorHAnsi" w:hAnsiTheme="minorHAnsi"/>
          <w:sz w:val="18"/>
          <w:szCs w:val="18"/>
          <w:lang w:val="en-AU"/>
        </w:rPr>
      </w:pPr>
      <w:r w:rsidRPr="004D31AB">
        <w:rPr>
          <w:rStyle w:val="FootnoteReference"/>
          <w:rFonts w:asciiTheme="minorHAnsi" w:hAnsiTheme="minorHAnsi"/>
          <w:sz w:val="16"/>
          <w:szCs w:val="16"/>
        </w:rPr>
        <w:footnoteRef/>
      </w:r>
      <w:r w:rsidRPr="00DD5DFC">
        <w:rPr>
          <w:rFonts w:asciiTheme="minorHAnsi" w:hAnsiTheme="minorHAnsi"/>
          <w:sz w:val="18"/>
          <w:szCs w:val="18"/>
        </w:rPr>
        <w:t xml:space="preserve"> </w:t>
      </w:r>
      <w:proofErr w:type="spellStart"/>
      <w:r w:rsidRPr="00554257">
        <w:rPr>
          <w:rFonts w:asciiTheme="minorHAnsi" w:hAnsiTheme="minorHAnsi"/>
          <w:sz w:val="16"/>
          <w:szCs w:val="16"/>
        </w:rPr>
        <w:t>Sundquist</w:t>
      </w:r>
      <w:proofErr w:type="spellEnd"/>
      <w:r w:rsidRPr="00554257">
        <w:rPr>
          <w:rFonts w:asciiTheme="minorHAnsi" w:hAnsiTheme="minorHAnsi"/>
          <w:sz w:val="16"/>
          <w:szCs w:val="16"/>
        </w:rPr>
        <w:t xml:space="preserve"> M et al. trends in survival in metastatic breast cancer. Cancer </w:t>
      </w:r>
      <w:proofErr w:type="spellStart"/>
      <w:r w:rsidRPr="00554257">
        <w:rPr>
          <w:rFonts w:asciiTheme="minorHAnsi" w:hAnsiTheme="minorHAnsi"/>
          <w:sz w:val="16"/>
          <w:szCs w:val="16"/>
        </w:rPr>
        <w:t>Eur</w:t>
      </w:r>
      <w:proofErr w:type="spellEnd"/>
      <w:r w:rsidRPr="00554257">
        <w:rPr>
          <w:rFonts w:asciiTheme="minorHAnsi" w:hAnsiTheme="minorHAnsi"/>
          <w:sz w:val="16"/>
          <w:szCs w:val="16"/>
        </w:rPr>
        <w:t xml:space="preserve"> J Cancer 2010; 8(3)191 Abstract 453</w:t>
      </w:r>
    </w:p>
  </w:footnote>
  <w:footnote w:id="16">
    <w:p w14:paraId="47136A49" w14:textId="77777777" w:rsidR="001F14C5" w:rsidRPr="00364FA9" w:rsidRDefault="001F14C5">
      <w:pPr>
        <w:pStyle w:val="FootnoteText"/>
        <w:rPr>
          <w:rFonts w:asciiTheme="minorHAnsi" w:hAnsiTheme="minorHAnsi"/>
          <w:sz w:val="16"/>
          <w:szCs w:val="16"/>
          <w:lang w:val="en-AU"/>
        </w:rPr>
      </w:pPr>
      <w:r w:rsidRPr="00364FA9">
        <w:rPr>
          <w:rStyle w:val="FootnoteReference"/>
          <w:rFonts w:asciiTheme="minorHAnsi" w:hAnsiTheme="minorHAnsi"/>
          <w:sz w:val="16"/>
          <w:szCs w:val="16"/>
        </w:rPr>
        <w:footnoteRef/>
      </w:r>
      <w:r w:rsidRPr="00364FA9">
        <w:rPr>
          <w:rFonts w:asciiTheme="minorHAnsi" w:hAnsiTheme="minorHAnsi"/>
          <w:sz w:val="16"/>
          <w:szCs w:val="16"/>
        </w:rPr>
        <w:t xml:space="preserve"> </w:t>
      </w:r>
      <w:proofErr w:type="spellStart"/>
      <w:r w:rsidRPr="00364FA9">
        <w:rPr>
          <w:rFonts w:asciiTheme="minorHAnsi" w:hAnsiTheme="minorHAnsi"/>
          <w:sz w:val="16"/>
          <w:szCs w:val="16"/>
        </w:rPr>
        <w:t>Balmana</w:t>
      </w:r>
      <w:proofErr w:type="spellEnd"/>
      <w:r w:rsidRPr="00364FA9">
        <w:rPr>
          <w:rFonts w:asciiTheme="minorHAnsi" w:hAnsiTheme="minorHAnsi"/>
          <w:sz w:val="16"/>
          <w:szCs w:val="16"/>
        </w:rPr>
        <w:t xml:space="preserve"> J, </w:t>
      </w:r>
      <w:proofErr w:type="spellStart"/>
      <w:r w:rsidRPr="00364FA9">
        <w:rPr>
          <w:rFonts w:asciiTheme="minorHAnsi" w:hAnsiTheme="minorHAnsi"/>
          <w:sz w:val="16"/>
          <w:szCs w:val="16"/>
        </w:rPr>
        <w:t>Diez</w:t>
      </w:r>
      <w:proofErr w:type="spellEnd"/>
      <w:r w:rsidRPr="00364FA9">
        <w:rPr>
          <w:rFonts w:asciiTheme="minorHAnsi" w:hAnsiTheme="minorHAnsi"/>
          <w:sz w:val="16"/>
          <w:szCs w:val="16"/>
        </w:rPr>
        <w:t xml:space="preserve"> O, Rubio IT, Cardoso F, ESMO Guidelines Working Group. BRCA in breast cancer: ESMO Clinical Practice Guidelines. </w:t>
      </w:r>
      <w:r w:rsidRPr="00364FA9">
        <w:rPr>
          <w:rFonts w:asciiTheme="minorHAnsi" w:hAnsiTheme="minorHAnsi"/>
          <w:i/>
          <w:sz w:val="16"/>
          <w:szCs w:val="16"/>
        </w:rPr>
        <w:t xml:space="preserve">Ann. </w:t>
      </w:r>
      <w:proofErr w:type="spellStart"/>
      <w:r w:rsidRPr="00364FA9">
        <w:rPr>
          <w:rFonts w:asciiTheme="minorHAnsi" w:hAnsiTheme="minorHAnsi"/>
          <w:i/>
          <w:sz w:val="16"/>
          <w:szCs w:val="16"/>
        </w:rPr>
        <w:t>Oncol</w:t>
      </w:r>
      <w:proofErr w:type="spellEnd"/>
      <w:r w:rsidRPr="00364FA9">
        <w:rPr>
          <w:rFonts w:asciiTheme="minorHAnsi" w:hAnsiTheme="minorHAnsi"/>
          <w:i/>
          <w:sz w:val="16"/>
          <w:szCs w:val="16"/>
        </w:rPr>
        <w:t xml:space="preserve">. </w:t>
      </w:r>
      <w:r w:rsidRPr="00364FA9">
        <w:rPr>
          <w:rFonts w:asciiTheme="minorHAnsi" w:hAnsiTheme="minorHAnsi"/>
          <w:sz w:val="16"/>
          <w:szCs w:val="16"/>
        </w:rPr>
        <w:t>2011;22(</w:t>
      </w:r>
      <w:proofErr w:type="spellStart"/>
      <w:r w:rsidRPr="00364FA9">
        <w:rPr>
          <w:rFonts w:asciiTheme="minorHAnsi" w:hAnsiTheme="minorHAnsi"/>
          <w:sz w:val="16"/>
          <w:szCs w:val="16"/>
        </w:rPr>
        <w:t>Suppl</w:t>
      </w:r>
      <w:proofErr w:type="spellEnd"/>
      <w:r w:rsidRPr="00364FA9">
        <w:rPr>
          <w:rFonts w:asciiTheme="minorHAnsi" w:hAnsiTheme="minorHAnsi"/>
          <w:sz w:val="16"/>
          <w:szCs w:val="16"/>
        </w:rPr>
        <w:t xml:space="preserve"> 6):vi31-34.</w:t>
      </w:r>
    </w:p>
  </w:footnote>
  <w:footnote w:id="17">
    <w:p w14:paraId="4EE14324" w14:textId="77777777" w:rsidR="001F14C5" w:rsidRDefault="001F14C5" w:rsidP="00364FA9">
      <w:pPr>
        <w:pStyle w:val="EndNoteBibliography"/>
        <w:spacing w:after="0"/>
        <w:ind w:left="720" w:hanging="720"/>
        <w:rPr>
          <w:rFonts w:asciiTheme="minorHAnsi" w:eastAsia="Times New Roman" w:hAnsiTheme="minorHAnsi" w:cs="Times New Roman"/>
          <w:noProof w:val="0"/>
          <w:sz w:val="16"/>
          <w:szCs w:val="16"/>
          <w:lang w:val="en-US" w:eastAsia="en-US"/>
        </w:rPr>
      </w:pPr>
      <w:r w:rsidRPr="004D31AB">
        <w:rPr>
          <w:rStyle w:val="FootnoteReference"/>
          <w:rFonts w:asciiTheme="minorHAnsi" w:hAnsiTheme="minorHAnsi"/>
          <w:sz w:val="16"/>
          <w:szCs w:val="16"/>
        </w:rPr>
        <w:footnoteRef/>
      </w:r>
      <w:r w:rsidRPr="004D31AB">
        <w:rPr>
          <w:rFonts w:asciiTheme="minorHAnsi" w:hAnsiTheme="minorHAnsi"/>
        </w:rPr>
        <w:t xml:space="preserve"> </w:t>
      </w:r>
      <w:r w:rsidRPr="00364FA9">
        <w:rPr>
          <w:rFonts w:asciiTheme="minorHAnsi" w:eastAsia="Times New Roman" w:hAnsiTheme="minorHAnsi" w:cs="Times New Roman"/>
          <w:noProof w:val="0"/>
          <w:sz w:val="16"/>
          <w:szCs w:val="16"/>
          <w:lang w:val="en-US" w:eastAsia="en-US"/>
        </w:rPr>
        <w:t xml:space="preserve">Antoniou A, </w:t>
      </w:r>
      <w:proofErr w:type="spellStart"/>
      <w:r w:rsidRPr="00364FA9">
        <w:rPr>
          <w:rFonts w:asciiTheme="minorHAnsi" w:eastAsia="Times New Roman" w:hAnsiTheme="minorHAnsi" w:cs="Times New Roman"/>
          <w:noProof w:val="0"/>
          <w:sz w:val="16"/>
          <w:szCs w:val="16"/>
          <w:lang w:val="en-US" w:eastAsia="en-US"/>
        </w:rPr>
        <w:t>Pharoah</w:t>
      </w:r>
      <w:proofErr w:type="spellEnd"/>
      <w:r w:rsidRPr="00364FA9">
        <w:rPr>
          <w:rFonts w:asciiTheme="minorHAnsi" w:eastAsia="Times New Roman" w:hAnsiTheme="minorHAnsi" w:cs="Times New Roman"/>
          <w:noProof w:val="0"/>
          <w:sz w:val="16"/>
          <w:szCs w:val="16"/>
          <w:lang w:val="en-US" w:eastAsia="en-US"/>
        </w:rPr>
        <w:t xml:space="preserve"> PD, </w:t>
      </w:r>
      <w:proofErr w:type="spellStart"/>
      <w:r w:rsidRPr="00364FA9">
        <w:rPr>
          <w:rFonts w:asciiTheme="minorHAnsi" w:eastAsia="Times New Roman" w:hAnsiTheme="minorHAnsi" w:cs="Times New Roman"/>
          <w:noProof w:val="0"/>
          <w:sz w:val="16"/>
          <w:szCs w:val="16"/>
          <w:lang w:val="en-US" w:eastAsia="en-US"/>
        </w:rPr>
        <w:t>Narod</w:t>
      </w:r>
      <w:proofErr w:type="spellEnd"/>
      <w:r w:rsidRPr="00364FA9">
        <w:rPr>
          <w:rFonts w:asciiTheme="minorHAnsi" w:eastAsia="Times New Roman" w:hAnsiTheme="minorHAnsi" w:cs="Times New Roman"/>
          <w:noProof w:val="0"/>
          <w:sz w:val="16"/>
          <w:szCs w:val="16"/>
          <w:lang w:val="en-US" w:eastAsia="en-US"/>
        </w:rPr>
        <w:t xml:space="preserve"> S, et al. Average risks of breast and ovarian cancer associated with BRCA1 or BRCA2</w:t>
      </w:r>
    </w:p>
    <w:p w14:paraId="32D9A700" w14:textId="77777777" w:rsidR="001F14C5" w:rsidRPr="00554257" w:rsidRDefault="001F14C5" w:rsidP="00BA2FF7">
      <w:pPr>
        <w:pStyle w:val="EndNoteBibliography"/>
        <w:spacing w:after="0"/>
        <w:rPr>
          <w:rFonts w:asciiTheme="minorHAnsi" w:eastAsia="Times New Roman" w:hAnsiTheme="minorHAnsi" w:cs="Times New Roman"/>
          <w:noProof w:val="0"/>
          <w:sz w:val="16"/>
          <w:szCs w:val="16"/>
          <w:lang w:val="en-US" w:eastAsia="en-US"/>
        </w:rPr>
      </w:pPr>
      <w:r w:rsidRPr="00364FA9">
        <w:rPr>
          <w:rFonts w:asciiTheme="minorHAnsi" w:eastAsia="Times New Roman" w:hAnsiTheme="minorHAnsi" w:cs="Times New Roman"/>
          <w:noProof w:val="0"/>
          <w:sz w:val="16"/>
          <w:szCs w:val="16"/>
          <w:lang w:val="en-US" w:eastAsia="en-US"/>
        </w:rPr>
        <w:t xml:space="preserve">mutations detected in case series unselected for family history: a combined analysis of 22 studies. Am. J. Hum. </w:t>
      </w:r>
      <w:r>
        <w:rPr>
          <w:rFonts w:asciiTheme="minorHAnsi" w:eastAsia="Times New Roman" w:hAnsiTheme="minorHAnsi" w:cs="Times New Roman"/>
          <w:noProof w:val="0"/>
          <w:sz w:val="16"/>
          <w:szCs w:val="16"/>
          <w:lang w:val="en-US" w:eastAsia="en-US"/>
        </w:rPr>
        <w:t>Genet. 2003;72(5):1117-1130</w:t>
      </w:r>
    </w:p>
  </w:footnote>
  <w:footnote w:id="18">
    <w:p w14:paraId="62E88C8E" w14:textId="77777777" w:rsidR="001F14C5" w:rsidRPr="00364FA9" w:rsidRDefault="001F14C5">
      <w:pPr>
        <w:pStyle w:val="FootnoteText"/>
        <w:rPr>
          <w:rFonts w:asciiTheme="minorHAnsi" w:hAnsiTheme="minorHAnsi"/>
          <w:sz w:val="16"/>
          <w:szCs w:val="16"/>
        </w:rPr>
      </w:pPr>
      <w:r w:rsidRPr="004D31AB">
        <w:rPr>
          <w:rStyle w:val="FootnoteReference"/>
          <w:rFonts w:asciiTheme="minorHAnsi" w:hAnsiTheme="minorHAnsi"/>
        </w:rPr>
        <w:footnoteRef/>
      </w:r>
      <w:r>
        <w:t xml:space="preserve"> </w:t>
      </w:r>
      <w:r w:rsidRPr="00364FA9">
        <w:rPr>
          <w:rFonts w:asciiTheme="minorHAnsi" w:hAnsiTheme="minorHAnsi"/>
          <w:sz w:val="16"/>
          <w:szCs w:val="16"/>
        </w:rPr>
        <w:t xml:space="preserve">Chen S, </w:t>
      </w:r>
      <w:proofErr w:type="spellStart"/>
      <w:r w:rsidRPr="00364FA9">
        <w:rPr>
          <w:rFonts w:asciiTheme="minorHAnsi" w:hAnsiTheme="minorHAnsi"/>
          <w:sz w:val="16"/>
          <w:szCs w:val="16"/>
        </w:rPr>
        <w:t>Parmigiani</w:t>
      </w:r>
      <w:proofErr w:type="spellEnd"/>
      <w:r w:rsidRPr="00364FA9">
        <w:rPr>
          <w:rFonts w:asciiTheme="minorHAnsi" w:hAnsiTheme="minorHAnsi"/>
          <w:sz w:val="16"/>
          <w:szCs w:val="16"/>
        </w:rPr>
        <w:t xml:space="preserve"> G. Meta-analysis of BRCA1 and BRCA2 penetrance. J. </w:t>
      </w:r>
      <w:proofErr w:type="spellStart"/>
      <w:r w:rsidRPr="00364FA9">
        <w:rPr>
          <w:rFonts w:asciiTheme="minorHAnsi" w:hAnsiTheme="minorHAnsi"/>
          <w:sz w:val="16"/>
          <w:szCs w:val="16"/>
        </w:rPr>
        <w:t>Clin</w:t>
      </w:r>
      <w:proofErr w:type="spellEnd"/>
      <w:r w:rsidRPr="00364FA9">
        <w:rPr>
          <w:rFonts w:asciiTheme="minorHAnsi" w:hAnsiTheme="minorHAnsi"/>
          <w:sz w:val="16"/>
          <w:szCs w:val="16"/>
        </w:rPr>
        <w:t xml:space="preserve">. </w:t>
      </w:r>
      <w:proofErr w:type="spellStart"/>
      <w:r w:rsidRPr="00364FA9">
        <w:rPr>
          <w:rFonts w:asciiTheme="minorHAnsi" w:hAnsiTheme="minorHAnsi"/>
          <w:sz w:val="16"/>
          <w:szCs w:val="16"/>
        </w:rPr>
        <w:t>Oncol</w:t>
      </w:r>
      <w:proofErr w:type="spellEnd"/>
      <w:r w:rsidRPr="00364FA9">
        <w:rPr>
          <w:rFonts w:asciiTheme="minorHAnsi" w:hAnsiTheme="minorHAnsi"/>
          <w:sz w:val="16"/>
          <w:szCs w:val="16"/>
        </w:rPr>
        <w:t>. 2007;25(11):1329-1333.</w:t>
      </w:r>
    </w:p>
  </w:footnote>
  <w:footnote w:id="19">
    <w:p w14:paraId="0E651076" w14:textId="77777777" w:rsidR="001F14C5" w:rsidRPr="004D31AB" w:rsidRDefault="001F14C5">
      <w:pPr>
        <w:pStyle w:val="FootnoteText"/>
        <w:rPr>
          <w:rFonts w:asciiTheme="minorHAnsi" w:hAnsiTheme="minorHAnsi"/>
          <w:sz w:val="16"/>
          <w:szCs w:val="16"/>
        </w:rPr>
      </w:pPr>
      <w:r w:rsidRPr="004D31AB">
        <w:rPr>
          <w:rStyle w:val="FootnoteReference"/>
          <w:rFonts w:asciiTheme="minorHAnsi" w:hAnsiTheme="minorHAnsi"/>
        </w:rPr>
        <w:footnoteRef/>
      </w:r>
      <w:r w:rsidRPr="004D31AB">
        <w:rPr>
          <w:rFonts w:asciiTheme="minorHAnsi" w:hAnsiTheme="minorHAnsi"/>
        </w:rPr>
        <w:t xml:space="preserve"> </w:t>
      </w:r>
      <w:proofErr w:type="spellStart"/>
      <w:r w:rsidRPr="004D31AB">
        <w:rPr>
          <w:rFonts w:asciiTheme="minorHAnsi" w:hAnsiTheme="minorHAnsi"/>
          <w:sz w:val="16"/>
          <w:szCs w:val="16"/>
        </w:rPr>
        <w:t>Howlader</w:t>
      </w:r>
      <w:proofErr w:type="spellEnd"/>
      <w:r w:rsidRPr="004D31AB">
        <w:rPr>
          <w:rFonts w:asciiTheme="minorHAnsi" w:hAnsiTheme="minorHAnsi"/>
          <w:sz w:val="16"/>
          <w:szCs w:val="16"/>
        </w:rPr>
        <w:t xml:space="preserve"> N, </w:t>
      </w:r>
      <w:proofErr w:type="spellStart"/>
      <w:r w:rsidRPr="004D31AB">
        <w:rPr>
          <w:rFonts w:asciiTheme="minorHAnsi" w:hAnsiTheme="minorHAnsi"/>
          <w:sz w:val="16"/>
          <w:szCs w:val="16"/>
        </w:rPr>
        <w:t>Altekruse</w:t>
      </w:r>
      <w:proofErr w:type="spellEnd"/>
      <w:r w:rsidRPr="004D31AB">
        <w:rPr>
          <w:rFonts w:asciiTheme="minorHAnsi" w:hAnsiTheme="minorHAnsi"/>
          <w:sz w:val="16"/>
          <w:szCs w:val="16"/>
        </w:rPr>
        <w:t xml:space="preserve"> SF, Li CI, et al. US incidence of breast cancer subtypes defined by joint hormone receptor and HER2 status. J. Natl. Cancer Inst. 2014;106(5)</w:t>
      </w:r>
    </w:p>
  </w:footnote>
  <w:footnote w:id="20">
    <w:p w14:paraId="56352F6B" w14:textId="77777777" w:rsidR="001F14C5" w:rsidRPr="004D31AB" w:rsidRDefault="001F14C5">
      <w:pPr>
        <w:pStyle w:val="FootnoteText"/>
        <w:rPr>
          <w:rFonts w:asciiTheme="minorHAnsi" w:hAnsiTheme="minorHAnsi"/>
          <w:sz w:val="16"/>
          <w:szCs w:val="16"/>
        </w:rPr>
      </w:pPr>
      <w:r w:rsidRPr="004D31AB">
        <w:rPr>
          <w:rStyle w:val="FootnoteReference"/>
          <w:rFonts w:asciiTheme="minorHAnsi" w:hAnsiTheme="minorHAnsi"/>
        </w:rPr>
        <w:footnoteRef/>
      </w:r>
      <w:r w:rsidRPr="004D31AB">
        <w:rPr>
          <w:rFonts w:asciiTheme="minorHAnsi" w:hAnsiTheme="minorHAnsi"/>
        </w:rPr>
        <w:t xml:space="preserve"> </w:t>
      </w:r>
      <w:proofErr w:type="spellStart"/>
      <w:r w:rsidRPr="004D31AB">
        <w:rPr>
          <w:rFonts w:asciiTheme="minorHAnsi" w:hAnsiTheme="minorHAnsi"/>
          <w:sz w:val="16"/>
          <w:szCs w:val="16"/>
        </w:rPr>
        <w:t>Hudis</w:t>
      </w:r>
      <w:proofErr w:type="spellEnd"/>
      <w:r w:rsidRPr="004D31AB">
        <w:rPr>
          <w:rFonts w:asciiTheme="minorHAnsi" w:hAnsiTheme="minorHAnsi"/>
          <w:sz w:val="16"/>
          <w:szCs w:val="16"/>
        </w:rPr>
        <w:t xml:space="preserve"> CA, Gianni L. Triple-negative breast cancer: an unmet medical need. Oncologist. 2011;16(</w:t>
      </w:r>
      <w:proofErr w:type="spellStart"/>
      <w:r w:rsidRPr="004D31AB">
        <w:rPr>
          <w:rFonts w:asciiTheme="minorHAnsi" w:hAnsiTheme="minorHAnsi"/>
          <w:sz w:val="16"/>
          <w:szCs w:val="16"/>
        </w:rPr>
        <w:t>Suppl</w:t>
      </w:r>
      <w:proofErr w:type="spellEnd"/>
      <w:r w:rsidRPr="004D31AB">
        <w:rPr>
          <w:rFonts w:asciiTheme="minorHAnsi" w:hAnsiTheme="minorHAnsi"/>
          <w:sz w:val="16"/>
          <w:szCs w:val="16"/>
        </w:rPr>
        <w:t xml:space="preserve"> 1):1-11</w:t>
      </w:r>
    </w:p>
  </w:footnote>
  <w:footnote w:id="21">
    <w:p w14:paraId="516910AF" w14:textId="77777777" w:rsidR="001F14C5" w:rsidRPr="004D31AB" w:rsidRDefault="001F14C5">
      <w:pPr>
        <w:pStyle w:val="FootnoteText"/>
        <w:rPr>
          <w:rFonts w:asciiTheme="minorHAnsi" w:hAnsiTheme="minorHAnsi"/>
          <w:sz w:val="16"/>
          <w:szCs w:val="16"/>
          <w:lang w:val="en-AU"/>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hAnsiTheme="minorHAnsi"/>
          <w:sz w:val="16"/>
          <w:szCs w:val="16"/>
        </w:rPr>
        <w:t xml:space="preserve">Li X, Yang J, Peng L, et al. Triple-negative breast cancer has worse overall survival and cause-specific survival than non-triple-negative breast cancer. </w:t>
      </w:r>
      <w:r w:rsidRPr="004D31AB">
        <w:rPr>
          <w:rFonts w:asciiTheme="minorHAnsi" w:hAnsiTheme="minorHAnsi"/>
          <w:i/>
          <w:sz w:val="16"/>
          <w:szCs w:val="16"/>
        </w:rPr>
        <w:t xml:space="preserve">Breast Cancer Res. Treat. </w:t>
      </w:r>
      <w:r w:rsidRPr="004D31AB">
        <w:rPr>
          <w:rFonts w:asciiTheme="minorHAnsi" w:hAnsiTheme="minorHAnsi"/>
          <w:sz w:val="16"/>
          <w:szCs w:val="16"/>
        </w:rPr>
        <w:t>2017;161(2):279-287</w:t>
      </w:r>
    </w:p>
  </w:footnote>
  <w:footnote w:id="22">
    <w:p w14:paraId="46B1EA3B" w14:textId="77777777" w:rsidR="001F14C5" w:rsidRPr="004D31AB" w:rsidRDefault="001F14C5" w:rsidP="00D6191C">
      <w:pPr>
        <w:pStyle w:val="EndNoteBibliography"/>
        <w:spacing w:after="0"/>
        <w:ind w:left="720" w:hanging="720"/>
        <w:rPr>
          <w:rFonts w:asciiTheme="minorHAnsi" w:hAnsiTheme="minorHAnsi"/>
          <w:sz w:val="16"/>
          <w:szCs w:val="16"/>
        </w:rPr>
      </w:pPr>
      <w:r w:rsidRPr="004D31AB">
        <w:rPr>
          <w:rStyle w:val="FootnoteReference"/>
          <w:rFonts w:asciiTheme="minorHAnsi" w:hAnsiTheme="minorHAnsi"/>
          <w:sz w:val="16"/>
          <w:szCs w:val="16"/>
        </w:rPr>
        <w:footnoteRef/>
      </w:r>
      <w:r w:rsidRPr="004D31AB">
        <w:rPr>
          <w:rFonts w:asciiTheme="minorHAnsi" w:hAnsiTheme="minorHAnsi"/>
          <w:sz w:val="16"/>
          <w:szCs w:val="16"/>
        </w:rPr>
        <w:t xml:space="preserve"> Liedtke C, Mazouni C, Hess KR, et al. Response to neoadjuvant therapy and long-term survival in patie</w:t>
      </w:r>
      <w:r>
        <w:rPr>
          <w:rFonts w:asciiTheme="minorHAnsi" w:hAnsiTheme="minorHAnsi"/>
          <w:sz w:val="16"/>
          <w:szCs w:val="16"/>
        </w:rPr>
        <w:t xml:space="preserve">nts with triple-negative breast </w:t>
      </w:r>
      <w:r w:rsidRPr="004D31AB">
        <w:rPr>
          <w:rFonts w:asciiTheme="minorHAnsi" w:hAnsiTheme="minorHAnsi"/>
          <w:sz w:val="16"/>
          <w:szCs w:val="16"/>
        </w:rPr>
        <w:t xml:space="preserve">cancer. </w:t>
      </w:r>
      <w:r w:rsidRPr="004D31AB">
        <w:rPr>
          <w:rFonts w:asciiTheme="minorHAnsi" w:hAnsiTheme="minorHAnsi"/>
          <w:i/>
          <w:sz w:val="16"/>
          <w:szCs w:val="16"/>
        </w:rPr>
        <w:t xml:space="preserve">J. Clin. Oncol. </w:t>
      </w:r>
      <w:r w:rsidRPr="004D31AB">
        <w:rPr>
          <w:rFonts w:asciiTheme="minorHAnsi" w:hAnsiTheme="minorHAnsi"/>
          <w:sz w:val="16"/>
          <w:szCs w:val="16"/>
        </w:rPr>
        <w:t>2008;26(8):1275-1281.</w:t>
      </w:r>
    </w:p>
  </w:footnote>
  <w:footnote w:id="23">
    <w:p w14:paraId="3273BF6A" w14:textId="77777777" w:rsidR="001F14C5" w:rsidRPr="004D31AB" w:rsidRDefault="001F14C5">
      <w:pPr>
        <w:pStyle w:val="FootnoteText"/>
        <w:rPr>
          <w:rFonts w:asciiTheme="minorHAnsi" w:eastAsiaTheme="minorEastAsia" w:hAnsiTheme="minorHAnsi" w:cs="Arial"/>
          <w:noProof/>
          <w:sz w:val="16"/>
          <w:szCs w:val="16"/>
          <w:lang w:val="en-GB" w:eastAsia="en-GB"/>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eastAsiaTheme="minorEastAsia" w:hAnsiTheme="minorHAnsi" w:cs="Arial"/>
          <w:noProof/>
          <w:sz w:val="16"/>
          <w:szCs w:val="16"/>
          <w:lang w:val="en-GB" w:eastAsia="en-GB"/>
        </w:rPr>
        <w:t>Muendlein A, Rohde BH, Gasser K, et al. Evaluation of BRCA1/2 mutational status among German and Austrian women with triple-negative breast cancer. J. Cancer Res. Clin. Oncol. 2015;141(11):2005-2012.</w:t>
      </w:r>
    </w:p>
  </w:footnote>
  <w:footnote w:id="24">
    <w:p w14:paraId="1D830127" w14:textId="77777777" w:rsidR="001F14C5" w:rsidRPr="004D31AB" w:rsidRDefault="001F14C5">
      <w:pPr>
        <w:pStyle w:val="FootnoteText"/>
        <w:rPr>
          <w:rFonts w:asciiTheme="minorHAnsi" w:hAnsiTheme="minorHAnsi"/>
          <w:lang w:val="en-AU"/>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eastAsiaTheme="minorEastAsia" w:hAnsiTheme="minorHAnsi" w:cs="Arial"/>
          <w:noProof/>
          <w:sz w:val="16"/>
          <w:szCs w:val="16"/>
          <w:lang w:val="en-GB" w:eastAsia="en-GB"/>
        </w:rPr>
        <w:t>Gonzalez-Rivera M, Lobo M, Lopez-Tarruella S, et al. Frequency of germline DNA genetic findings in an unselected prospective cohort of triple-negative breast cancer patients participating in a platinum-based neoadjuvant chemotherapy trial. Breast Cancer Res. Treat. 2016;156(3):507-515</w:t>
      </w:r>
    </w:p>
  </w:footnote>
  <w:footnote w:id="25">
    <w:p w14:paraId="45CFFF1F" w14:textId="77777777" w:rsidR="001F14C5" w:rsidRPr="004D31AB" w:rsidRDefault="001F14C5">
      <w:pPr>
        <w:pStyle w:val="FootnoteText"/>
        <w:rPr>
          <w:rFonts w:asciiTheme="minorHAnsi" w:eastAsiaTheme="minorEastAsia" w:hAnsiTheme="minorHAnsi" w:cs="Arial"/>
          <w:noProof/>
          <w:sz w:val="16"/>
          <w:szCs w:val="16"/>
          <w:lang w:val="en-GB" w:eastAsia="en-GB"/>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eastAsiaTheme="minorEastAsia" w:hAnsiTheme="minorHAnsi" w:cs="Arial"/>
          <w:noProof/>
          <w:sz w:val="16"/>
          <w:szCs w:val="16"/>
          <w:lang w:val="en-GB" w:eastAsia="en-GB"/>
        </w:rPr>
        <w:t>Wong-Brown MW, Meldrum CJ, Carpenter JE, et al. Prevalence of BRCA1 and BRCA2 germline mutations in patients with triple-negative breast cancer. Breast Cancer Res. Treat. 2015;150(1):71-80</w:t>
      </w:r>
    </w:p>
  </w:footnote>
  <w:footnote w:id="26">
    <w:p w14:paraId="577B2CD0" w14:textId="77777777" w:rsidR="001F14C5" w:rsidRPr="004D31AB" w:rsidRDefault="001F14C5">
      <w:pPr>
        <w:pStyle w:val="FootnoteText"/>
        <w:rPr>
          <w:rFonts w:asciiTheme="minorHAnsi" w:eastAsiaTheme="minorEastAsia" w:hAnsiTheme="minorHAnsi" w:cs="Arial"/>
          <w:noProof/>
          <w:sz w:val="16"/>
          <w:szCs w:val="16"/>
          <w:lang w:val="en-GB" w:eastAsia="en-GB"/>
        </w:rPr>
      </w:pPr>
      <w:r w:rsidRPr="004D31AB">
        <w:rPr>
          <w:rFonts w:asciiTheme="minorHAnsi" w:eastAsiaTheme="minorEastAsia" w:hAnsiTheme="minorHAnsi" w:cs="Arial"/>
          <w:noProof/>
          <w:sz w:val="16"/>
          <w:szCs w:val="16"/>
          <w:lang w:val="en-GB" w:eastAsia="en-GB"/>
        </w:rPr>
        <w:footnoteRef/>
      </w:r>
      <w:r w:rsidRPr="004D31AB">
        <w:rPr>
          <w:rFonts w:asciiTheme="minorHAnsi" w:eastAsiaTheme="minorEastAsia" w:hAnsiTheme="minorHAnsi" w:cs="Arial"/>
          <w:noProof/>
          <w:sz w:val="16"/>
          <w:szCs w:val="16"/>
          <w:lang w:val="en-GB" w:eastAsia="en-GB"/>
        </w:rPr>
        <w:t xml:space="preserve"> Fostira F, Tsitlaidou M, Papadimitriou C, et al. Prevalence of BRCA1 mutations among 403 women with triple-negative breast cancer: implications for genetic screening selection criteria: a Hellenic Cooperative Oncology Group Study. Breast Cancer Res. Treat. 2012;134(1):353-362</w:t>
      </w:r>
    </w:p>
  </w:footnote>
  <w:footnote w:id="27">
    <w:p w14:paraId="2B731EA0" w14:textId="77777777" w:rsidR="001F14C5" w:rsidRPr="004D31AB" w:rsidRDefault="001F14C5" w:rsidP="00BB131F">
      <w:pPr>
        <w:pStyle w:val="EndNoteBibliography"/>
        <w:spacing w:after="0"/>
        <w:ind w:left="720" w:hanging="720"/>
        <w:rPr>
          <w:rFonts w:asciiTheme="minorHAnsi" w:hAnsiTheme="minorHAnsi"/>
          <w:sz w:val="16"/>
          <w:szCs w:val="16"/>
        </w:rPr>
      </w:pPr>
      <w:r w:rsidRPr="004D31AB">
        <w:rPr>
          <w:rStyle w:val="FootnoteReference"/>
          <w:rFonts w:asciiTheme="minorHAnsi" w:hAnsiTheme="minorHAnsi"/>
          <w:sz w:val="16"/>
          <w:szCs w:val="16"/>
        </w:rPr>
        <w:footnoteRef/>
      </w:r>
      <w:r w:rsidRPr="004D31AB">
        <w:rPr>
          <w:rFonts w:asciiTheme="minorHAnsi" w:hAnsiTheme="minorHAnsi"/>
        </w:rPr>
        <w:t xml:space="preserve"> </w:t>
      </w:r>
      <w:r w:rsidRPr="004D31AB">
        <w:rPr>
          <w:rFonts w:asciiTheme="minorHAnsi" w:hAnsiTheme="minorHAnsi"/>
          <w:sz w:val="16"/>
          <w:szCs w:val="16"/>
        </w:rPr>
        <w:t xml:space="preserve">National Institute for Health and Care Excellence (NICE). Familial breast cancer: classification, care and managing breast cancer </w:t>
      </w:r>
    </w:p>
    <w:p w14:paraId="7A6AABA6" w14:textId="77777777" w:rsidR="001F14C5" w:rsidRPr="004D31AB" w:rsidRDefault="001F14C5" w:rsidP="00BB131F">
      <w:pPr>
        <w:pStyle w:val="EndNoteBibliography"/>
        <w:spacing w:after="0"/>
        <w:ind w:left="720" w:hanging="720"/>
        <w:rPr>
          <w:rFonts w:asciiTheme="minorHAnsi" w:hAnsiTheme="minorHAnsi"/>
          <w:sz w:val="16"/>
          <w:szCs w:val="16"/>
        </w:rPr>
      </w:pPr>
      <w:r w:rsidRPr="004D31AB">
        <w:rPr>
          <w:rFonts w:asciiTheme="minorHAnsi" w:hAnsiTheme="minorHAnsi"/>
          <w:sz w:val="16"/>
          <w:szCs w:val="16"/>
        </w:rPr>
        <w:t xml:space="preserve">and related risks in people with a family history of breast cancer. 2017; </w:t>
      </w:r>
    </w:p>
    <w:p w14:paraId="6948031A" w14:textId="19996303" w:rsidR="001F14C5" w:rsidRPr="004D31AB" w:rsidRDefault="001F14C5" w:rsidP="00BB131F">
      <w:pPr>
        <w:pStyle w:val="EndNoteBibliography"/>
        <w:spacing w:after="0"/>
        <w:ind w:left="720" w:hanging="720"/>
        <w:rPr>
          <w:rFonts w:asciiTheme="minorHAnsi" w:hAnsiTheme="minorHAnsi"/>
          <w:sz w:val="16"/>
          <w:szCs w:val="16"/>
        </w:rPr>
      </w:pPr>
      <w:hyperlink r:id="rId5" w:tooltip="Link to National Institute for Health and Care Excellence website" w:history="1">
        <w:r w:rsidRPr="004D31AB">
          <w:rPr>
            <w:rStyle w:val="Hyperlink"/>
            <w:rFonts w:asciiTheme="minorHAnsi" w:hAnsiTheme="minorHAnsi"/>
            <w:sz w:val="16"/>
            <w:szCs w:val="16"/>
          </w:rPr>
          <w:t>https://www.nice.org.uk/guidance/cg164/chapter/1-recommendations;</w:t>
        </w:r>
      </w:hyperlink>
      <w:r w:rsidRPr="004D31AB">
        <w:rPr>
          <w:rFonts w:asciiTheme="minorHAnsi" w:hAnsiTheme="minorHAnsi"/>
          <w:sz w:val="16"/>
          <w:szCs w:val="16"/>
        </w:rPr>
        <w:t xml:space="preserve"> . Accessed 16 January 2017.</w:t>
      </w:r>
    </w:p>
  </w:footnote>
  <w:footnote w:id="28">
    <w:p w14:paraId="0AABE9C5" w14:textId="75BA0F96" w:rsidR="001F14C5" w:rsidRPr="004D31AB" w:rsidRDefault="001F14C5">
      <w:pPr>
        <w:pStyle w:val="FootnoteText"/>
        <w:rPr>
          <w:rFonts w:asciiTheme="minorHAnsi" w:eastAsiaTheme="minorEastAsia" w:hAnsiTheme="minorHAnsi" w:cs="Arial"/>
          <w:noProof/>
          <w:sz w:val="16"/>
          <w:szCs w:val="16"/>
          <w:lang w:val="en-GB" w:eastAsia="en-GB"/>
        </w:rPr>
      </w:pPr>
      <w:r w:rsidRPr="004D31AB">
        <w:rPr>
          <w:rStyle w:val="FootnoteReference"/>
          <w:rFonts w:asciiTheme="minorHAnsi" w:hAnsiTheme="minorHAnsi"/>
          <w:sz w:val="16"/>
          <w:szCs w:val="16"/>
        </w:rPr>
        <w:footnoteRef/>
      </w:r>
      <w:r w:rsidRPr="004D31AB">
        <w:rPr>
          <w:rFonts w:asciiTheme="minorHAnsi" w:hAnsiTheme="minorHAnsi"/>
          <w:sz w:val="16"/>
          <w:szCs w:val="16"/>
        </w:rPr>
        <w:t xml:space="preserve"> </w:t>
      </w:r>
      <w:r w:rsidRPr="004D31AB">
        <w:rPr>
          <w:rFonts w:asciiTheme="minorHAnsi" w:eastAsiaTheme="minorEastAsia" w:hAnsiTheme="minorHAnsi" w:cs="Arial"/>
          <w:noProof/>
          <w:sz w:val="16"/>
          <w:szCs w:val="16"/>
          <w:lang w:val="en-GB" w:eastAsia="en-GB"/>
        </w:rPr>
        <w:t xml:space="preserve">National Comprehensive Cancer Network (NCCN). Clinical Practice Guidelines in Oncology - Genetic/familial high-risk assessment: breast and ovarian. </w:t>
      </w:r>
      <w:proofErr w:type="gramStart"/>
      <w:r w:rsidRPr="004D31AB">
        <w:rPr>
          <w:rFonts w:asciiTheme="minorHAnsi" w:eastAsiaTheme="minorEastAsia" w:hAnsiTheme="minorHAnsi" w:cs="Arial"/>
          <w:noProof/>
          <w:sz w:val="16"/>
          <w:szCs w:val="16"/>
          <w:lang w:val="en-GB" w:eastAsia="en-GB"/>
        </w:rPr>
        <w:t xml:space="preserve">2013;v4 </w:t>
      </w:r>
      <w:hyperlink r:id="rId6" w:tooltip="Link to National Comprehensive Cancer Network website" w:history="1">
        <w:r w:rsidRPr="004D31AB">
          <w:rPr>
            <w:rStyle w:val="Hyperlink"/>
            <w:rFonts w:asciiTheme="minorHAnsi" w:eastAsiaTheme="minorEastAsia" w:hAnsiTheme="minorHAnsi" w:cs="Arial"/>
            <w:noProof/>
            <w:sz w:val="16"/>
            <w:szCs w:val="16"/>
            <w:lang w:val="en-GB" w:eastAsia="en-GB"/>
          </w:rPr>
          <w:t>http://www.nccn.org/professionals/physician_gls/pdf/genetics_screening.pdf.</w:t>
        </w:r>
        <w:proofErr w:type="gramEnd"/>
        <w:r w:rsidRPr="004D31AB">
          <w:rPr>
            <w:rStyle w:val="Hyperlink"/>
            <w:rFonts w:asciiTheme="minorHAnsi" w:eastAsiaTheme="minorEastAsia" w:hAnsiTheme="minorHAnsi" w:cs="Arial"/>
            <w:noProof/>
            <w:sz w:val="16"/>
            <w:szCs w:val="16"/>
            <w:lang w:val="en-GB" w:eastAsia="en-GB"/>
          </w:rPr>
          <w:t xml:space="preserve"> Accessed 3 February 2014</w:t>
        </w:r>
      </w:hyperlink>
    </w:p>
  </w:footnote>
  <w:footnote w:id="29">
    <w:p w14:paraId="0033DE92" w14:textId="77777777" w:rsidR="001F14C5" w:rsidRPr="00527E47" w:rsidRDefault="001F14C5">
      <w:pPr>
        <w:pStyle w:val="FootnoteText"/>
        <w:rPr>
          <w:rFonts w:asciiTheme="minorHAnsi" w:hAnsiTheme="minorHAnsi"/>
          <w:sz w:val="16"/>
          <w:szCs w:val="16"/>
          <w:lang w:val="en-AU"/>
        </w:rPr>
      </w:pPr>
      <w:r w:rsidRPr="00527E47">
        <w:rPr>
          <w:rStyle w:val="FootnoteReference"/>
          <w:rFonts w:asciiTheme="minorHAnsi" w:hAnsiTheme="minorHAnsi"/>
          <w:sz w:val="16"/>
          <w:szCs w:val="16"/>
        </w:rPr>
        <w:footnoteRef/>
      </w:r>
      <w:r w:rsidRPr="00527E47">
        <w:rPr>
          <w:rFonts w:asciiTheme="minorHAnsi" w:hAnsiTheme="minorHAnsi"/>
          <w:sz w:val="16"/>
          <w:szCs w:val="16"/>
        </w:rPr>
        <w:t xml:space="preserve"> </w:t>
      </w:r>
      <w:r w:rsidRPr="00527E47">
        <w:rPr>
          <w:rFonts w:asciiTheme="minorHAnsi" w:hAnsiTheme="minorHAnsi" w:cs="Arial"/>
          <w:noProof/>
          <w:sz w:val="16"/>
          <w:szCs w:val="16"/>
        </w:rPr>
        <w:t xml:space="preserve">Lau C, Suthers G. BRCA testing for familial breast cancer. </w:t>
      </w:r>
      <w:r w:rsidRPr="00527E47">
        <w:rPr>
          <w:rFonts w:asciiTheme="minorHAnsi" w:hAnsiTheme="minorHAnsi" w:cs="Arial"/>
          <w:i/>
          <w:noProof/>
          <w:sz w:val="16"/>
          <w:szCs w:val="16"/>
        </w:rPr>
        <w:t xml:space="preserve">Australian Prescriber. </w:t>
      </w:r>
      <w:r w:rsidRPr="00527E47">
        <w:rPr>
          <w:rFonts w:asciiTheme="minorHAnsi" w:hAnsiTheme="minorHAnsi" w:cs="Arial"/>
          <w:noProof/>
          <w:sz w:val="16"/>
          <w:szCs w:val="16"/>
        </w:rPr>
        <w:t>2011;34(2):49-51</w:t>
      </w:r>
    </w:p>
  </w:footnote>
  <w:footnote w:id="30">
    <w:p w14:paraId="60EE3CC3" w14:textId="0F430DFF" w:rsidR="001F14C5" w:rsidRPr="00527E47" w:rsidRDefault="001F14C5">
      <w:pPr>
        <w:pStyle w:val="FootnoteText"/>
        <w:rPr>
          <w:rFonts w:asciiTheme="minorHAnsi" w:hAnsiTheme="minorHAnsi"/>
          <w:sz w:val="16"/>
          <w:szCs w:val="16"/>
          <w:lang w:val="en-AU"/>
        </w:rPr>
      </w:pPr>
      <w:r w:rsidRPr="00527E47">
        <w:rPr>
          <w:rStyle w:val="FootnoteReference"/>
          <w:rFonts w:asciiTheme="minorHAnsi" w:hAnsiTheme="minorHAnsi"/>
          <w:sz w:val="16"/>
          <w:szCs w:val="16"/>
        </w:rPr>
        <w:footnoteRef/>
      </w:r>
      <w:r w:rsidRPr="00527E47">
        <w:rPr>
          <w:rFonts w:asciiTheme="minorHAnsi" w:hAnsiTheme="minorHAnsi"/>
          <w:sz w:val="16"/>
          <w:szCs w:val="16"/>
        </w:rPr>
        <w:t xml:space="preserve"> </w:t>
      </w:r>
      <w:r w:rsidRPr="00527E47">
        <w:rPr>
          <w:rFonts w:asciiTheme="minorHAnsi" w:hAnsiTheme="minorHAnsi" w:cs="Arial"/>
          <w:noProof/>
          <w:sz w:val="16"/>
          <w:szCs w:val="16"/>
        </w:rPr>
        <w:t xml:space="preserve">eviQ Cancer Treatments Online. </w:t>
      </w:r>
      <w:r w:rsidRPr="00527E47">
        <w:rPr>
          <w:rFonts w:asciiTheme="minorHAnsi" w:hAnsiTheme="minorHAnsi" w:cs="Arial"/>
          <w:i/>
          <w:noProof/>
          <w:sz w:val="16"/>
          <w:szCs w:val="16"/>
        </w:rPr>
        <w:t>Genetic Testing for Heritable Mutations in the BRCA1 and BRCA2 Genes</w:t>
      </w:r>
      <w:r w:rsidRPr="00527E47">
        <w:rPr>
          <w:rFonts w:asciiTheme="minorHAnsi" w:hAnsiTheme="minorHAnsi" w:cs="Arial"/>
          <w:noProof/>
          <w:sz w:val="16"/>
          <w:szCs w:val="16"/>
        </w:rPr>
        <w:t xml:space="preserve"> 2014; https://</w:t>
      </w:r>
      <w:hyperlink r:id="rId7" w:tooltip="Link to eviQ Cancer Treatments Online website" w:history="1">
        <w:r w:rsidRPr="00527E47">
          <w:rPr>
            <w:rStyle w:val="Hyperlink"/>
            <w:rFonts w:asciiTheme="minorHAnsi" w:hAnsiTheme="minorHAnsi" w:cs="Arial"/>
            <w:noProof/>
            <w:sz w:val="16"/>
            <w:szCs w:val="16"/>
          </w:rPr>
          <w:t>www.eviq.org.au/Protocol/tabid/66/categoryid/440/id/620/Genetic%20Testing%20for%20Heritable%20Mutations%20in%20the%20BRCA1%20and%20BRCA2%20Genes.aspx</w:t>
        </w:r>
      </w:hyperlink>
    </w:p>
  </w:footnote>
  <w:footnote w:id="31">
    <w:p w14:paraId="2E9DE7BF" w14:textId="77777777" w:rsidR="001F14C5" w:rsidRPr="00477FBF" w:rsidRDefault="001F14C5" w:rsidP="00477FBF">
      <w:pPr>
        <w:pStyle w:val="EndNoteBibliography"/>
        <w:spacing w:after="0"/>
        <w:ind w:left="720" w:hanging="720"/>
        <w:rPr>
          <w:rFonts w:asciiTheme="minorHAnsi" w:hAnsiTheme="minorHAnsi"/>
          <w:sz w:val="16"/>
          <w:szCs w:val="16"/>
        </w:rPr>
      </w:pPr>
      <w:r w:rsidRPr="00144869">
        <w:rPr>
          <w:rStyle w:val="FootnoteReference"/>
          <w:rFonts w:asciiTheme="minorHAnsi" w:hAnsiTheme="minorHAnsi"/>
          <w:sz w:val="16"/>
          <w:szCs w:val="16"/>
        </w:rPr>
        <w:footnoteRef/>
      </w:r>
      <w:r w:rsidRPr="00477FBF">
        <w:rPr>
          <w:rStyle w:val="FootnoteReference"/>
        </w:rPr>
        <w:t xml:space="preserve"> </w:t>
      </w:r>
      <w:r w:rsidRPr="00477FBF">
        <w:rPr>
          <w:rFonts w:asciiTheme="minorHAnsi" w:hAnsiTheme="minorHAnsi"/>
          <w:sz w:val="16"/>
          <w:szCs w:val="16"/>
        </w:rPr>
        <w:t>Schurer M, Chapman A-M, Beard S. A structured review of published guidelines/recommendations on treatment options for patients with HER2- metastatic breast cancer (with a specific focus on germline BRCA1/2 mutations. Version 2.0 (final). BresMed. 2016.</w:t>
      </w:r>
    </w:p>
  </w:footnote>
  <w:footnote w:id="32">
    <w:p w14:paraId="7AD0699E" w14:textId="77777777" w:rsidR="001F14C5" w:rsidRPr="00EF7CDD" w:rsidRDefault="001F14C5">
      <w:pPr>
        <w:pStyle w:val="FootnoteText"/>
        <w:rPr>
          <w:rFonts w:asciiTheme="minorHAnsi" w:hAnsiTheme="minorHAnsi"/>
          <w:sz w:val="16"/>
          <w:szCs w:val="16"/>
          <w:lang w:val="en-AU"/>
        </w:rPr>
      </w:pPr>
      <w:r w:rsidRPr="00EF7CDD">
        <w:rPr>
          <w:rStyle w:val="FootnoteReference"/>
          <w:rFonts w:asciiTheme="minorHAnsi" w:hAnsiTheme="minorHAnsi"/>
          <w:sz w:val="16"/>
          <w:szCs w:val="16"/>
        </w:rPr>
        <w:footnoteRef/>
      </w:r>
      <w:r w:rsidRPr="00EF7CDD">
        <w:rPr>
          <w:rFonts w:asciiTheme="minorHAnsi" w:hAnsiTheme="minorHAnsi"/>
          <w:sz w:val="16"/>
          <w:szCs w:val="16"/>
        </w:rPr>
        <w:t xml:space="preserve"> </w:t>
      </w:r>
      <w:r w:rsidRPr="00EF7CDD">
        <w:rPr>
          <w:rFonts w:asciiTheme="minorHAnsi" w:hAnsiTheme="minorHAnsi"/>
          <w:sz w:val="16"/>
          <w:szCs w:val="16"/>
          <w:lang w:val="en-AU"/>
        </w:rPr>
        <w:t>Cardoso et al. 3</w:t>
      </w:r>
      <w:r w:rsidRPr="00EF7CDD">
        <w:rPr>
          <w:rFonts w:asciiTheme="minorHAnsi" w:hAnsiTheme="minorHAnsi"/>
          <w:sz w:val="16"/>
          <w:szCs w:val="16"/>
          <w:vertAlign w:val="superscript"/>
          <w:lang w:val="en-AU"/>
        </w:rPr>
        <w:t>rd</w:t>
      </w:r>
      <w:r w:rsidRPr="00EF7CDD">
        <w:rPr>
          <w:rFonts w:asciiTheme="minorHAnsi" w:hAnsiTheme="minorHAnsi"/>
          <w:sz w:val="16"/>
          <w:szCs w:val="16"/>
          <w:lang w:val="en-AU"/>
        </w:rPr>
        <w:t xml:space="preserve"> ESO-ESMO International Consensus Guidelines for Advanced Breast Cancer (ABC 3). Annals of Oncology 2016; 1-17 (doi:10.1093/</w:t>
      </w:r>
      <w:proofErr w:type="spellStart"/>
      <w:r w:rsidRPr="00EF7CDD">
        <w:rPr>
          <w:rFonts w:asciiTheme="minorHAnsi" w:hAnsiTheme="minorHAnsi"/>
          <w:sz w:val="16"/>
          <w:szCs w:val="16"/>
          <w:lang w:val="en-AU"/>
        </w:rPr>
        <w:t>annonco</w:t>
      </w:r>
      <w:proofErr w:type="spellEnd"/>
      <w:r w:rsidRPr="00EF7CDD">
        <w:rPr>
          <w:rFonts w:asciiTheme="minorHAnsi" w:hAnsiTheme="minorHAnsi"/>
          <w:sz w:val="16"/>
          <w:szCs w:val="16"/>
          <w:lang w:val="en-AU"/>
        </w:rPr>
        <w:t>/mdw544)</w:t>
      </w:r>
    </w:p>
  </w:footnote>
  <w:footnote w:id="33">
    <w:p w14:paraId="2870CD6F" w14:textId="08F098D9" w:rsidR="001F14C5" w:rsidRDefault="001F14C5">
      <w:pPr>
        <w:pStyle w:val="FootnoteText"/>
        <w:rPr>
          <w:rFonts w:asciiTheme="minorHAnsi" w:hAnsiTheme="minorHAnsi"/>
          <w:sz w:val="16"/>
          <w:szCs w:val="16"/>
          <w:lang w:val="en-AU"/>
        </w:rPr>
      </w:pPr>
      <w:r w:rsidRPr="00110EBC">
        <w:rPr>
          <w:rStyle w:val="FootnoteReference"/>
          <w:rFonts w:asciiTheme="minorHAnsi" w:hAnsiTheme="minorHAnsi"/>
          <w:sz w:val="16"/>
          <w:szCs w:val="16"/>
        </w:rPr>
        <w:footnoteRef/>
      </w:r>
      <w:r w:rsidRPr="00110EBC">
        <w:rPr>
          <w:rFonts w:asciiTheme="minorHAnsi" w:hAnsiTheme="minorHAnsi"/>
          <w:sz w:val="16"/>
          <w:szCs w:val="16"/>
        </w:rPr>
        <w:t xml:space="preserve"> </w:t>
      </w:r>
      <w:r w:rsidRPr="00110EBC">
        <w:rPr>
          <w:rFonts w:asciiTheme="minorHAnsi" w:hAnsiTheme="minorHAnsi"/>
          <w:sz w:val="16"/>
          <w:szCs w:val="16"/>
          <w:lang w:val="en-AU"/>
        </w:rPr>
        <w:t>NCCN National Comprehensive Cancer Network Guidelines Version 2.2017 accessed 22 May 2017</w:t>
      </w:r>
      <w:r>
        <w:rPr>
          <w:rFonts w:asciiTheme="minorHAnsi" w:hAnsiTheme="minorHAnsi"/>
          <w:sz w:val="16"/>
          <w:szCs w:val="16"/>
          <w:lang w:val="en-AU"/>
        </w:rPr>
        <w:t xml:space="preserve"> </w:t>
      </w:r>
      <w:hyperlink r:id="rId8" w:tooltip="Link to National Comprehensive Cancer Network Guidelines " w:history="1">
        <w:r w:rsidRPr="009413B9">
          <w:rPr>
            <w:rStyle w:val="Hyperlink"/>
            <w:rFonts w:asciiTheme="minorHAnsi" w:hAnsiTheme="minorHAnsi"/>
            <w:sz w:val="16"/>
            <w:szCs w:val="16"/>
            <w:lang w:val="en-AU"/>
          </w:rPr>
          <w:t>https://www.nccn.org/professionals/physician_gls/pdf/breast.pdf</w:t>
        </w:r>
      </w:hyperlink>
    </w:p>
    <w:p w14:paraId="0A85D8B2" w14:textId="77777777" w:rsidR="001F14C5" w:rsidRPr="00110EBC" w:rsidRDefault="001F14C5">
      <w:pPr>
        <w:pStyle w:val="FootnoteText"/>
        <w:rPr>
          <w:rFonts w:asciiTheme="minorHAnsi" w:hAnsiTheme="minorHAnsi"/>
          <w:sz w:val="16"/>
          <w:szCs w:val="16"/>
          <w:lang w:val="en-AU"/>
        </w:rPr>
      </w:pPr>
    </w:p>
  </w:footnote>
  <w:footnote w:id="34">
    <w:p w14:paraId="4BD6CF13" w14:textId="77777777" w:rsidR="001F14C5" w:rsidRPr="00B953A5" w:rsidRDefault="001F14C5">
      <w:pPr>
        <w:pStyle w:val="FootnoteText"/>
        <w:rPr>
          <w:rFonts w:asciiTheme="minorHAnsi" w:hAnsiTheme="minorHAnsi"/>
          <w:sz w:val="16"/>
          <w:szCs w:val="16"/>
          <w:lang w:val="en-AU"/>
        </w:rPr>
      </w:pPr>
      <w:r w:rsidRPr="00B953A5">
        <w:rPr>
          <w:rStyle w:val="FootnoteReference"/>
          <w:rFonts w:asciiTheme="minorHAnsi" w:hAnsiTheme="minorHAnsi"/>
          <w:sz w:val="16"/>
          <w:szCs w:val="16"/>
        </w:rPr>
        <w:footnoteRef/>
      </w:r>
      <w:r w:rsidRPr="00B953A5">
        <w:rPr>
          <w:rFonts w:asciiTheme="minorHAnsi" w:hAnsiTheme="minorHAnsi"/>
          <w:sz w:val="16"/>
          <w:szCs w:val="16"/>
        </w:rPr>
        <w:t xml:space="preserve"> </w:t>
      </w:r>
      <w:r w:rsidRPr="00B953A5">
        <w:rPr>
          <w:rFonts w:asciiTheme="minorHAnsi" w:hAnsiTheme="minorHAnsi" w:cs="Arial"/>
          <w:noProof/>
          <w:sz w:val="16"/>
          <w:szCs w:val="16"/>
        </w:rPr>
        <w:t xml:space="preserve">Lau C, Suthers G. BRCA testing for familial breast cancer. </w:t>
      </w:r>
      <w:r w:rsidRPr="00B953A5">
        <w:rPr>
          <w:rFonts w:asciiTheme="minorHAnsi" w:hAnsiTheme="minorHAnsi" w:cs="Arial"/>
          <w:i/>
          <w:noProof/>
          <w:sz w:val="16"/>
          <w:szCs w:val="16"/>
        </w:rPr>
        <w:t xml:space="preserve">Australian Prescriber. </w:t>
      </w:r>
      <w:r w:rsidRPr="00B953A5">
        <w:rPr>
          <w:rFonts w:asciiTheme="minorHAnsi" w:hAnsiTheme="minorHAnsi" w:cs="Arial"/>
          <w:noProof/>
          <w:sz w:val="16"/>
          <w:szCs w:val="16"/>
        </w:rPr>
        <w:t>2011;34(2):49-51</w:t>
      </w:r>
    </w:p>
  </w:footnote>
  <w:footnote w:id="35">
    <w:p w14:paraId="0AD2DE67" w14:textId="77777777" w:rsidR="001F14C5" w:rsidRPr="00144869" w:rsidRDefault="001F14C5" w:rsidP="00144869">
      <w:pPr>
        <w:pStyle w:val="EndNoteBibliography"/>
        <w:spacing w:after="0"/>
        <w:ind w:left="720" w:hanging="720"/>
        <w:rPr>
          <w:rFonts w:asciiTheme="minorHAnsi" w:hAnsiTheme="minorHAnsi"/>
          <w:sz w:val="16"/>
          <w:szCs w:val="16"/>
        </w:rPr>
      </w:pPr>
      <w:r w:rsidRPr="00144869">
        <w:rPr>
          <w:rStyle w:val="FootnoteReference"/>
          <w:rFonts w:asciiTheme="minorHAnsi" w:hAnsiTheme="minorHAnsi"/>
          <w:sz w:val="16"/>
          <w:szCs w:val="16"/>
        </w:rPr>
        <w:footnoteRef/>
      </w:r>
      <w:r w:rsidRPr="00144869">
        <w:rPr>
          <w:rFonts w:asciiTheme="minorHAnsi" w:hAnsiTheme="minorHAnsi"/>
          <w:sz w:val="16"/>
          <w:szCs w:val="16"/>
        </w:rPr>
        <w:t xml:space="preserve"> NICE. </w:t>
      </w:r>
      <w:r w:rsidRPr="00144869">
        <w:rPr>
          <w:rFonts w:asciiTheme="minorHAnsi" w:hAnsiTheme="minorHAnsi"/>
          <w:i/>
          <w:sz w:val="16"/>
          <w:szCs w:val="16"/>
        </w:rPr>
        <w:t xml:space="preserve">Advanced breast cancer: diagnosis and treatment. Full guidelines. Developed for NICE by the National Collaborating Centre for Cancer. Last modified July 2014. </w:t>
      </w:r>
      <w:r>
        <w:rPr>
          <w:rFonts w:asciiTheme="minorHAnsi" w:hAnsiTheme="minorHAnsi"/>
          <w:sz w:val="16"/>
          <w:szCs w:val="16"/>
        </w:rPr>
        <w:t>2009.</w:t>
      </w:r>
    </w:p>
  </w:footnote>
  <w:footnote w:id="36">
    <w:p w14:paraId="3E84A1FF" w14:textId="77777777" w:rsidR="001F14C5" w:rsidRPr="00144869" w:rsidRDefault="001F14C5" w:rsidP="00F8792A">
      <w:pPr>
        <w:pStyle w:val="EndNoteBibliography"/>
        <w:spacing w:after="0"/>
        <w:ind w:left="720" w:hanging="720"/>
        <w:rPr>
          <w:rFonts w:asciiTheme="minorHAnsi" w:hAnsiTheme="minorHAnsi"/>
          <w:sz w:val="16"/>
          <w:szCs w:val="16"/>
        </w:rPr>
      </w:pPr>
      <w:r w:rsidRPr="00144869">
        <w:rPr>
          <w:rStyle w:val="FootnoteReference"/>
          <w:rFonts w:asciiTheme="minorHAnsi" w:hAnsiTheme="minorHAnsi"/>
          <w:sz w:val="16"/>
          <w:szCs w:val="16"/>
        </w:rPr>
        <w:footnoteRef/>
      </w:r>
      <w:r w:rsidRPr="00144869">
        <w:rPr>
          <w:rFonts w:asciiTheme="minorHAnsi" w:hAnsiTheme="minorHAnsi"/>
          <w:sz w:val="16"/>
          <w:szCs w:val="16"/>
        </w:rPr>
        <w:t xml:space="preserve"> NICE. </w:t>
      </w:r>
      <w:r w:rsidRPr="00144869">
        <w:rPr>
          <w:rFonts w:asciiTheme="minorHAnsi" w:hAnsiTheme="minorHAnsi"/>
          <w:i/>
          <w:sz w:val="16"/>
          <w:szCs w:val="16"/>
        </w:rPr>
        <w:t xml:space="preserve">Advanced breast cancer: diagnosis and treatment. Full guidelines. Developed for NICE by the National Collaborating Centre for Cancer. Last modified July 2014. </w:t>
      </w:r>
      <w:r>
        <w:rPr>
          <w:rFonts w:asciiTheme="minorHAnsi" w:hAnsiTheme="minorHAnsi"/>
          <w:sz w:val="16"/>
          <w:szCs w:val="16"/>
        </w:rPr>
        <w:t>2009.</w:t>
      </w:r>
    </w:p>
  </w:footnote>
  <w:footnote w:id="37">
    <w:p w14:paraId="1A7D1DF0" w14:textId="5D8C0243" w:rsidR="001F14C5" w:rsidRPr="001E6A5F" w:rsidRDefault="001F14C5">
      <w:pPr>
        <w:pStyle w:val="FootnoteText"/>
        <w:rPr>
          <w:rFonts w:asciiTheme="minorHAnsi" w:hAnsiTheme="minorHAnsi"/>
          <w:sz w:val="16"/>
          <w:szCs w:val="16"/>
          <w:lang w:val="en-AU"/>
        </w:rPr>
      </w:pPr>
      <w:r w:rsidRPr="001E6A5F">
        <w:rPr>
          <w:rStyle w:val="FootnoteReference"/>
          <w:rFonts w:asciiTheme="minorHAnsi" w:hAnsiTheme="minorHAnsi"/>
          <w:sz w:val="16"/>
          <w:szCs w:val="16"/>
        </w:rPr>
        <w:footnoteRef/>
      </w:r>
      <w:r w:rsidRPr="001E6A5F">
        <w:rPr>
          <w:rFonts w:asciiTheme="minorHAnsi" w:hAnsiTheme="minorHAnsi"/>
          <w:sz w:val="16"/>
          <w:szCs w:val="16"/>
        </w:rPr>
        <w:t xml:space="preserve"> </w:t>
      </w:r>
      <w:r w:rsidRPr="001E6A5F">
        <w:rPr>
          <w:rFonts w:asciiTheme="minorHAnsi" w:hAnsiTheme="minorHAnsi"/>
          <w:sz w:val="16"/>
          <w:szCs w:val="16"/>
          <w:lang w:val="en-AU"/>
        </w:rPr>
        <w:t xml:space="preserve">Cohen PA et al Impact of clinical genetics attendance at a </w:t>
      </w:r>
      <w:proofErr w:type="spellStart"/>
      <w:r w:rsidRPr="001E6A5F">
        <w:rPr>
          <w:rFonts w:asciiTheme="minorHAnsi" w:hAnsiTheme="minorHAnsi"/>
          <w:sz w:val="16"/>
          <w:szCs w:val="16"/>
          <w:lang w:val="en-AU"/>
        </w:rPr>
        <w:t>gynecologic</w:t>
      </w:r>
      <w:proofErr w:type="spellEnd"/>
      <w:r w:rsidRPr="001E6A5F">
        <w:rPr>
          <w:rFonts w:asciiTheme="minorHAnsi" w:hAnsiTheme="minorHAnsi"/>
          <w:sz w:val="16"/>
          <w:szCs w:val="16"/>
          <w:lang w:val="en-AU"/>
        </w:rPr>
        <w:t xml:space="preserve"> oncology </w:t>
      </w:r>
      <w:proofErr w:type="spellStart"/>
      <w:r w:rsidRPr="001E6A5F">
        <w:rPr>
          <w:rFonts w:asciiTheme="minorHAnsi" w:hAnsiTheme="minorHAnsi"/>
          <w:sz w:val="16"/>
          <w:szCs w:val="16"/>
          <w:lang w:val="en-AU"/>
        </w:rPr>
        <w:t>tumor</w:t>
      </w:r>
      <w:proofErr w:type="spellEnd"/>
      <w:r w:rsidRPr="001E6A5F">
        <w:rPr>
          <w:rFonts w:asciiTheme="minorHAnsi" w:hAnsiTheme="minorHAnsi"/>
          <w:sz w:val="16"/>
          <w:szCs w:val="16"/>
          <w:lang w:val="en-AU"/>
        </w:rPr>
        <w:t xml:space="preserve"> board on referrals for genetic counselling and BRCA mutation testing. Int. J </w:t>
      </w:r>
      <w:proofErr w:type="spellStart"/>
      <w:r w:rsidRPr="001E6A5F">
        <w:rPr>
          <w:rFonts w:asciiTheme="minorHAnsi" w:hAnsiTheme="minorHAnsi"/>
          <w:sz w:val="16"/>
          <w:szCs w:val="16"/>
          <w:lang w:val="en-AU"/>
        </w:rPr>
        <w:t>Gynecological</w:t>
      </w:r>
      <w:proofErr w:type="spellEnd"/>
      <w:r w:rsidRPr="001E6A5F">
        <w:rPr>
          <w:rFonts w:asciiTheme="minorHAnsi" w:hAnsiTheme="minorHAnsi"/>
          <w:sz w:val="16"/>
          <w:szCs w:val="16"/>
          <w:lang w:val="en-AU"/>
        </w:rPr>
        <w:t xml:space="preserve"> Cancer 2016; 26(5):892-897</w:t>
      </w:r>
    </w:p>
  </w:footnote>
  <w:footnote w:id="38">
    <w:p w14:paraId="2BC0C7B9" w14:textId="3460DA01" w:rsidR="001F14C5" w:rsidRPr="007C592D" w:rsidRDefault="001F14C5">
      <w:pPr>
        <w:pStyle w:val="FootnoteText"/>
        <w:rPr>
          <w:rFonts w:asciiTheme="minorHAnsi" w:eastAsiaTheme="minorEastAsia" w:hAnsiTheme="minorHAnsi" w:cs="Arial"/>
          <w:noProof/>
          <w:sz w:val="16"/>
          <w:szCs w:val="16"/>
          <w:lang w:val="en-GB" w:eastAsia="en-GB"/>
        </w:rPr>
      </w:pPr>
      <w:r w:rsidRPr="007C592D">
        <w:rPr>
          <w:rStyle w:val="FootnoteReference"/>
          <w:rFonts w:asciiTheme="minorHAnsi" w:hAnsiTheme="minorHAnsi"/>
          <w:sz w:val="16"/>
          <w:szCs w:val="16"/>
        </w:rPr>
        <w:footnoteRef/>
      </w:r>
      <w:r w:rsidRPr="007C592D">
        <w:rPr>
          <w:rFonts w:asciiTheme="minorHAnsi" w:hAnsiTheme="minorHAnsi"/>
          <w:sz w:val="16"/>
          <w:szCs w:val="16"/>
        </w:rPr>
        <w:t xml:space="preserve"> </w:t>
      </w:r>
      <w:r w:rsidRPr="007C592D">
        <w:rPr>
          <w:rFonts w:asciiTheme="minorHAnsi" w:eastAsiaTheme="minorEastAsia" w:hAnsiTheme="minorHAnsi" w:cs="Arial"/>
          <w:noProof/>
          <w:sz w:val="16"/>
          <w:szCs w:val="16"/>
          <w:lang w:val="en-GB" w:eastAsia="en-GB"/>
        </w:rPr>
        <w:t xml:space="preserve">Economic Evaluation </w:t>
      </w:r>
      <w:r>
        <w:rPr>
          <w:rFonts w:asciiTheme="minorHAnsi" w:eastAsiaTheme="minorEastAsia" w:hAnsiTheme="minorHAnsi" w:cs="Arial"/>
          <w:noProof/>
          <w:sz w:val="16"/>
          <w:szCs w:val="16"/>
          <w:lang w:val="en-GB" w:eastAsia="en-GB"/>
        </w:rPr>
        <w:t xml:space="preserve">Report </w:t>
      </w:r>
      <w:r w:rsidRPr="007C592D">
        <w:rPr>
          <w:rFonts w:asciiTheme="minorHAnsi" w:eastAsiaTheme="minorEastAsia" w:hAnsiTheme="minorHAnsi" w:cs="Arial"/>
          <w:noProof/>
          <w:sz w:val="16"/>
          <w:szCs w:val="16"/>
          <w:lang w:val="en-GB" w:eastAsia="en-GB"/>
        </w:rPr>
        <w:t>of MSAC application 1411.1</w:t>
      </w:r>
      <w:r>
        <w:rPr>
          <w:rFonts w:asciiTheme="minorHAnsi" w:eastAsiaTheme="minorEastAsia" w:hAnsiTheme="minorHAnsi" w:cs="Arial"/>
          <w:noProof/>
          <w:sz w:val="16"/>
          <w:szCs w:val="16"/>
          <w:lang w:val="en-GB" w:eastAsia="en-GB"/>
        </w:rPr>
        <w:t xml:space="preserve"> page 2. </w:t>
      </w:r>
      <w:r w:rsidRPr="007C592D">
        <w:rPr>
          <w:rFonts w:asciiTheme="minorHAnsi" w:eastAsiaTheme="minorEastAsia" w:hAnsiTheme="minorHAnsi" w:cs="Arial"/>
          <w:noProof/>
          <w:sz w:val="16"/>
          <w:szCs w:val="16"/>
          <w:lang w:val="en-GB" w:eastAsia="en-GB"/>
        </w:rPr>
        <w:t>http://www.msac.gov.au/internet/msac/publishing.nsf/Content/1411.1-public</w:t>
      </w:r>
    </w:p>
  </w:footnote>
  <w:footnote w:id="39">
    <w:p w14:paraId="2FB615CE" w14:textId="77777777" w:rsidR="001F14C5" w:rsidRPr="0092612F" w:rsidRDefault="001F14C5" w:rsidP="00F002E0">
      <w:pPr>
        <w:pStyle w:val="FootnoteText"/>
        <w:rPr>
          <w:rFonts w:asciiTheme="minorHAnsi" w:hAnsiTheme="minorHAnsi"/>
          <w:sz w:val="16"/>
          <w:szCs w:val="16"/>
        </w:rPr>
      </w:pPr>
      <w:r w:rsidRPr="00FD5091">
        <w:rPr>
          <w:rStyle w:val="FootnoteReference"/>
          <w:rFonts w:asciiTheme="minorHAnsi" w:hAnsiTheme="minorHAnsi"/>
        </w:rPr>
        <w:footnoteRef/>
      </w:r>
      <w:r>
        <w:t xml:space="preserve"> </w:t>
      </w:r>
      <w:r w:rsidRPr="0092612F">
        <w:rPr>
          <w:rFonts w:asciiTheme="minorHAnsi" w:hAnsiTheme="minorHAnsi"/>
          <w:sz w:val="16"/>
          <w:szCs w:val="16"/>
        </w:rPr>
        <w:t xml:space="preserve">AstraZeneca data on file. </w:t>
      </w:r>
      <w:proofErr w:type="spellStart"/>
      <w:r w:rsidRPr="0092612F">
        <w:rPr>
          <w:rFonts w:asciiTheme="minorHAnsi" w:hAnsiTheme="minorHAnsi"/>
          <w:sz w:val="16"/>
          <w:szCs w:val="16"/>
        </w:rPr>
        <w:t>Olaparib</w:t>
      </w:r>
      <w:proofErr w:type="spellEnd"/>
      <w:r w:rsidRPr="0092612F">
        <w:rPr>
          <w:rFonts w:asciiTheme="minorHAnsi" w:hAnsiTheme="minorHAnsi"/>
          <w:sz w:val="16"/>
          <w:szCs w:val="16"/>
        </w:rPr>
        <w:t xml:space="preserve"> monotherapy as maintenance treatment of patients with platinum-sensitive relapsed BRCA mutated ovarian cancer. 2.5 Clinical Overview.  15 January 2014</w:t>
      </w:r>
    </w:p>
  </w:footnote>
  <w:footnote w:id="40">
    <w:p w14:paraId="0AB1D217" w14:textId="77777777" w:rsidR="001F14C5" w:rsidRPr="00E66B09" w:rsidRDefault="001F14C5">
      <w:pPr>
        <w:pStyle w:val="FootnoteText"/>
        <w:rPr>
          <w:rFonts w:asciiTheme="minorHAnsi" w:hAnsiTheme="minorHAnsi"/>
          <w:sz w:val="16"/>
          <w:szCs w:val="16"/>
          <w:lang w:val="en-AU"/>
        </w:rPr>
      </w:pPr>
      <w:r w:rsidRPr="00E66B09">
        <w:rPr>
          <w:rStyle w:val="FootnoteReference"/>
          <w:rFonts w:asciiTheme="minorHAnsi" w:hAnsiTheme="minorHAnsi"/>
          <w:sz w:val="16"/>
          <w:szCs w:val="16"/>
        </w:rPr>
        <w:footnoteRef/>
      </w:r>
      <w:r w:rsidRPr="00E66B09">
        <w:rPr>
          <w:rFonts w:asciiTheme="minorHAnsi" w:hAnsiTheme="minorHAnsi"/>
          <w:sz w:val="16"/>
          <w:szCs w:val="16"/>
        </w:rPr>
        <w:t xml:space="preserve"> </w:t>
      </w:r>
      <w:r w:rsidRPr="00E66B09">
        <w:rPr>
          <w:rFonts w:asciiTheme="minorHAnsi" w:hAnsiTheme="minorHAnsi"/>
          <w:sz w:val="16"/>
          <w:szCs w:val="16"/>
          <w:lang w:val="en-GB"/>
        </w:rPr>
        <w:t xml:space="preserve">Robson et al. N </w:t>
      </w:r>
      <w:proofErr w:type="spellStart"/>
      <w:r w:rsidRPr="00E66B09">
        <w:rPr>
          <w:rFonts w:asciiTheme="minorHAnsi" w:hAnsiTheme="minorHAnsi"/>
          <w:sz w:val="16"/>
          <w:szCs w:val="16"/>
          <w:lang w:val="en-GB"/>
        </w:rPr>
        <w:t>Engl</w:t>
      </w:r>
      <w:proofErr w:type="spellEnd"/>
      <w:r w:rsidRPr="00E66B09">
        <w:rPr>
          <w:rFonts w:asciiTheme="minorHAnsi" w:hAnsiTheme="minorHAnsi"/>
          <w:sz w:val="16"/>
          <w:szCs w:val="16"/>
          <w:lang w:val="en-GB"/>
        </w:rPr>
        <w:t xml:space="preserve"> J Med. 2017</w:t>
      </w:r>
    </w:p>
  </w:footnote>
  <w:footnote w:id="41">
    <w:p w14:paraId="39F173CE" w14:textId="5342B7A9" w:rsidR="001F14C5" w:rsidRPr="00F41B45" w:rsidRDefault="001F14C5">
      <w:pPr>
        <w:pStyle w:val="FootnoteText"/>
        <w:rPr>
          <w:rFonts w:asciiTheme="minorHAnsi" w:hAnsiTheme="minorHAnsi"/>
          <w:sz w:val="16"/>
          <w:szCs w:val="16"/>
          <w:lang w:val="en-AU"/>
        </w:rPr>
      </w:pPr>
      <w:r w:rsidRPr="00F41B45">
        <w:rPr>
          <w:rStyle w:val="FootnoteReference"/>
          <w:rFonts w:asciiTheme="minorHAnsi" w:hAnsiTheme="minorHAnsi"/>
          <w:sz w:val="16"/>
          <w:szCs w:val="16"/>
        </w:rPr>
        <w:footnoteRef/>
      </w:r>
      <w:r w:rsidRPr="00F41B45">
        <w:rPr>
          <w:rFonts w:asciiTheme="minorHAnsi" w:hAnsiTheme="minorHAnsi"/>
          <w:sz w:val="16"/>
          <w:szCs w:val="16"/>
        </w:rPr>
        <w:t xml:space="preserve"> AIHW Cancer incidence projections: Australia 2011-2020 p.21-32</w:t>
      </w:r>
      <w:r>
        <w:rPr>
          <w:rFonts w:asciiTheme="minorHAnsi" w:hAnsiTheme="minorHAnsi"/>
          <w:sz w:val="16"/>
          <w:szCs w:val="16"/>
        </w:rPr>
        <w:t xml:space="preserve">, </w:t>
      </w:r>
      <w:r w:rsidRPr="00F41B45">
        <w:rPr>
          <w:rFonts w:asciiTheme="minorHAnsi" w:hAnsiTheme="minorHAnsi"/>
          <w:sz w:val="16"/>
          <w:szCs w:val="16"/>
        </w:rPr>
        <w:t>http://www.aihw.gov.au/publication-detail/?id=10737421461</w:t>
      </w:r>
    </w:p>
  </w:footnote>
  <w:footnote w:id="42">
    <w:p w14:paraId="72A8AB8B" w14:textId="77777777" w:rsidR="001F14C5" w:rsidRPr="00DA568B" w:rsidRDefault="001F14C5" w:rsidP="00BC1DEA">
      <w:pPr>
        <w:pStyle w:val="EndNoteBibliography"/>
        <w:spacing w:after="0"/>
        <w:ind w:left="720" w:hanging="720"/>
        <w:rPr>
          <w:rFonts w:asciiTheme="minorHAnsi" w:eastAsia="Times New Roman" w:hAnsiTheme="minorHAnsi" w:cs="Times New Roman"/>
          <w:noProof w:val="0"/>
          <w:sz w:val="16"/>
          <w:szCs w:val="16"/>
          <w:lang w:val="en-US" w:eastAsia="en-US"/>
        </w:rPr>
      </w:pPr>
      <w:r w:rsidRPr="00DA568B">
        <w:rPr>
          <w:rStyle w:val="FootnoteReference"/>
          <w:rFonts w:asciiTheme="minorHAnsi" w:hAnsiTheme="minorHAnsi"/>
          <w:sz w:val="16"/>
          <w:szCs w:val="16"/>
        </w:rPr>
        <w:footnoteRef/>
      </w:r>
      <w:r w:rsidRPr="00DA568B">
        <w:rPr>
          <w:rFonts w:asciiTheme="minorHAnsi" w:hAnsiTheme="minorHAnsi"/>
          <w:sz w:val="20"/>
          <w:szCs w:val="20"/>
        </w:rPr>
        <w:t xml:space="preserve"> </w:t>
      </w:r>
      <w:proofErr w:type="spellStart"/>
      <w:r w:rsidRPr="00DA568B">
        <w:rPr>
          <w:rFonts w:asciiTheme="minorHAnsi" w:eastAsia="Times New Roman" w:hAnsiTheme="minorHAnsi" w:cs="Times New Roman"/>
          <w:noProof w:val="0"/>
          <w:sz w:val="16"/>
          <w:szCs w:val="16"/>
          <w:lang w:val="en-US" w:eastAsia="en-US"/>
        </w:rPr>
        <w:t>Howlader</w:t>
      </w:r>
      <w:proofErr w:type="spellEnd"/>
      <w:r w:rsidRPr="00DA568B">
        <w:rPr>
          <w:rFonts w:asciiTheme="minorHAnsi" w:eastAsia="Times New Roman" w:hAnsiTheme="minorHAnsi" w:cs="Times New Roman"/>
          <w:noProof w:val="0"/>
          <w:sz w:val="16"/>
          <w:szCs w:val="16"/>
          <w:lang w:val="en-US" w:eastAsia="en-US"/>
        </w:rPr>
        <w:t xml:space="preserve"> N, </w:t>
      </w:r>
      <w:proofErr w:type="spellStart"/>
      <w:r w:rsidRPr="00DA568B">
        <w:rPr>
          <w:rFonts w:asciiTheme="minorHAnsi" w:eastAsia="Times New Roman" w:hAnsiTheme="minorHAnsi" w:cs="Times New Roman"/>
          <w:noProof w:val="0"/>
          <w:sz w:val="16"/>
          <w:szCs w:val="16"/>
          <w:lang w:val="en-US" w:eastAsia="en-US"/>
        </w:rPr>
        <w:t>Altekruse</w:t>
      </w:r>
      <w:proofErr w:type="spellEnd"/>
      <w:r w:rsidRPr="00DA568B">
        <w:rPr>
          <w:rFonts w:asciiTheme="minorHAnsi" w:eastAsia="Times New Roman" w:hAnsiTheme="minorHAnsi" w:cs="Times New Roman"/>
          <w:noProof w:val="0"/>
          <w:sz w:val="16"/>
          <w:szCs w:val="16"/>
          <w:lang w:val="en-US" w:eastAsia="en-US"/>
        </w:rPr>
        <w:t xml:space="preserve"> SF, Li CI, et al. US incidence of breast cancer subtypes defined by joint hormone receptor and HER2 status. J. Natl. Cancer Inst. 2014;106(5).</w:t>
      </w:r>
    </w:p>
    <w:p w14:paraId="2928F870" w14:textId="6B309BB7" w:rsidR="001F14C5" w:rsidRPr="00BC1DEA" w:rsidRDefault="001F14C5" w:rsidP="00BC1DEA">
      <w:pPr>
        <w:pStyle w:val="FootnoteText"/>
        <w:rPr>
          <w:lang w:val="en-AU"/>
        </w:rPr>
      </w:pPr>
    </w:p>
  </w:footnote>
  <w:footnote w:id="43">
    <w:p w14:paraId="22461956" w14:textId="77777777" w:rsidR="001F14C5" w:rsidRPr="00F41B45" w:rsidRDefault="001F14C5">
      <w:pPr>
        <w:pStyle w:val="FootnoteText"/>
        <w:rPr>
          <w:rFonts w:asciiTheme="minorHAnsi" w:hAnsiTheme="minorHAnsi"/>
          <w:sz w:val="16"/>
          <w:szCs w:val="16"/>
          <w:lang w:val="en-AU"/>
        </w:rPr>
      </w:pPr>
      <w:r w:rsidRPr="00F41B45">
        <w:rPr>
          <w:rStyle w:val="FootnoteReference"/>
          <w:rFonts w:asciiTheme="minorHAnsi" w:hAnsiTheme="minorHAnsi"/>
          <w:sz w:val="16"/>
          <w:szCs w:val="16"/>
        </w:rPr>
        <w:footnoteRef/>
      </w:r>
      <w:r w:rsidRPr="00F41B45">
        <w:rPr>
          <w:rFonts w:asciiTheme="minorHAnsi" w:hAnsiTheme="minorHAnsi"/>
          <w:sz w:val="16"/>
          <w:szCs w:val="16"/>
        </w:rPr>
        <w:t xml:space="preserve"> AIHW Cancer incidence projections: Australia 2011-2020 p.21-32</w:t>
      </w:r>
      <w:r>
        <w:rPr>
          <w:rFonts w:asciiTheme="minorHAnsi" w:hAnsiTheme="minorHAnsi"/>
          <w:sz w:val="16"/>
          <w:szCs w:val="16"/>
        </w:rPr>
        <w:t xml:space="preserve">, </w:t>
      </w:r>
      <w:r w:rsidRPr="00F41B45">
        <w:rPr>
          <w:rFonts w:asciiTheme="minorHAnsi" w:hAnsiTheme="minorHAnsi"/>
          <w:sz w:val="16"/>
          <w:szCs w:val="16"/>
        </w:rPr>
        <w:t>http://www.aihw.gov.au/publication-detail/?id=10737421461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72E"/>
    <w:multiLevelType w:val="hybridMultilevel"/>
    <w:tmpl w:val="8D16110E"/>
    <w:lvl w:ilvl="0" w:tplc="A49A3A46">
      <w:start w:val="1"/>
      <w:numFmt w:val="bullet"/>
      <w:lvlText w:val="•"/>
      <w:lvlJc w:val="left"/>
      <w:pPr>
        <w:tabs>
          <w:tab w:val="num" w:pos="720"/>
        </w:tabs>
        <w:ind w:left="720" w:hanging="360"/>
      </w:pPr>
      <w:rPr>
        <w:rFonts w:ascii="Arial" w:hAnsi="Arial" w:hint="default"/>
      </w:rPr>
    </w:lvl>
    <w:lvl w:ilvl="1" w:tplc="FC54C282" w:tentative="1">
      <w:start w:val="1"/>
      <w:numFmt w:val="bullet"/>
      <w:lvlText w:val="•"/>
      <w:lvlJc w:val="left"/>
      <w:pPr>
        <w:tabs>
          <w:tab w:val="num" w:pos="1440"/>
        </w:tabs>
        <w:ind w:left="1440" w:hanging="360"/>
      </w:pPr>
      <w:rPr>
        <w:rFonts w:ascii="Arial" w:hAnsi="Arial" w:hint="default"/>
      </w:rPr>
    </w:lvl>
    <w:lvl w:ilvl="2" w:tplc="A60A43FA" w:tentative="1">
      <w:start w:val="1"/>
      <w:numFmt w:val="bullet"/>
      <w:lvlText w:val="•"/>
      <w:lvlJc w:val="left"/>
      <w:pPr>
        <w:tabs>
          <w:tab w:val="num" w:pos="2160"/>
        </w:tabs>
        <w:ind w:left="2160" w:hanging="360"/>
      </w:pPr>
      <w:rPr>
        <w:rFonts w:ascii="Arial" w:hAnsi="Arial" w:hint="default"/>
      </w:rPr>
    </w:lvl>
    <w:lvl w:ilvl="3" w:tplc="4D82E1CA" w:tentative="1">
      <w:start w:val="1"/>
      <w:numFmt w:val="bullet"/>
      <w:lvlText w:val="•"/>
      <w:lvlJc w:val="left"/>
      <w:pPr>
        <w:tabs>
          <w:tab w:val="num" w:pos="2880"/>
        </w:tabs>
        <w:ind w:left="2880" w:hanging="360"/>
      </w:pPr>
      <w:rPr>
        <w:rFonts w:ascii="Arial" w:hAnsi="Arial" w:hint="default"/>
      </w:rPr>
    </w:lvl>
    <w:lvl w:ilvl="4" w:tplc="82884326" w:tentative="1">
      <w:start w:val="1"/>
      <w:numFmt w:val="bullet"/>
      <w:lvlText w:val="•"/>
      <w:lvlJc w:val="left"/>
      <w:pPr>
        <w:tabs>
          <w:tab w:val="num" w:pos="3600"/>
        </w:tabs>
        <w:ind w:left="3600" w:hanging="360"/>
      </w:pPr>
      <w:rPr>
        <w:rFonts w:ascii="Arial" w:hAnsi="Arial" w:hint="default"/>
      </w:rPr>
    </w:lvl>
    <w:lvl w:ilvl="5" w:tplc="6ADE602C" w:tentative="1">
      <w:start w:val="1"/>
      <w:numFmt w:val="bullet"/>
      <w:lvlText w:val="•"/>
      <w:lvlJc w:val="left"/>
      <w:pPr>
        <w:tabs>
          <w:tab w:val="num" w:pos="4320"/>
        </w:tabs>
        <w:ind w:left="4320" w:hanging="360"/>
      </w:pPr>
      <w:rPr>
        <w:rFonts w:ascii="Arial" w:hAnsi="Arial" w:hint="default"/>
      </w:rPr>
    </w:lvl>
    <w:lvl w:ilvl="6" w:tplc="ED6AC508" w:tentative="1">
      <w:start w:val="1"/>
      <w:numFmt w:val="bullet"/>
      <w:lvlText w:val="•"/>
      <w:lvlJc w:val="left"/>
      <w:pPr>
        <w:tabs>
          <w:tab w:val="num" w:pos="5040"/>
        </w:tabs>
        <w:ind w:left="5040" w:hanging="360"/>
      </w:pPr>
      <w:rPr>
        <w:rFonts w:ascii="Arial" w:hAnsi="Arial" w:hint="default"/>
      </w:rPr>
    </w:lvl>
    <w:lvl w:ilvl="7" w:tplc="8086F564" w:tentative="1">
      <w:start w:val="1"/>
      <w:numFmt w:val="bullet"/>
      <w:lvlText w:val="•"/>
      <w:lvlJc w:val="left"/>
      <w:pPr>
        <w:tabs>
          <w:tab w:val="num" w:pos="5760"/>
        </w:tabs>
        <w:ind w:left="5760" w:hanging="360"/>
      </w:pPr>
      <w:rPr>
        <w:rFonts w:ascii="Arial" w:hAnsi="Arial" w:hint="default"/>
      </w:rPr>
    </w:lvl>
    <w:lvl w:ilvl="8" w:tplc="A3F6A0FE" w:tentative="1">
      <w:start w:val="1"/>
      <w:numFmt w:val="bullet"/>
      <w:lvlText w:val="•"/>
      <w:lvlJc w:val="left"/>
      <w:pPr>
        <w:tabs>
          <w:tab w:val="num" w:pos="6480"/>
        </w:tabs>
        <w:ind w:left="6480" w:hanging="360"/>
      </w:pPr>
      <w:rPr>
        <w:rFonts w:ascii="Arial" w:hAnsi="Arial" w:hint="default"/>
      </w:rPr>
    </w:lvl>
  </w:abstractNum>
  <w:abstractNum w:abstractNumId="1">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029374CA"/>
    <w:multiLevelType w:val="hybridMultilevel"/>
    <w:tmpl w:val="58BA63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04847575"/>
    <w:multiLevelType w:val="hybridMultilevel"/>
    <w:tmpl w:val="445C0504"/>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9E57F0"/>
    <w:multiLevelType w:val="hybridMultilevel"/>
    <w:tmpl w:val="B59A4358"/>
    <w:lvl w:ilvl="0" w:tplc="06E00350">
      <w:start w:val="1"/>
      <w:numFmt w:val="bullet"/>
      <w:lvlText w:val="•"/>
      <w:lvlJc w:val="left"/>
      <w:pPr>
        <w:tabs>
          <w:tab w:val="num" w:pos="720"/>
        </w:tabs>
        <w:ind w:left="720" w:hanging="360"/>
      </w:pPr>
      <w:rPr>
        <w:rFonts w:ascii="Arial" w:hAnsi="Arial" w:hint="default"/>
      </w:rPr>
    </w:lvl>
    <w:lvl w:ilvl="1" w:tplc="596ABCC8" w:tentative="1">
      <w:start w:val="1"/>
      <w:numFmt w:val="bullet"/>
      <w:lvlText w:val="•"/>
      <w:lvlJc w:val="left"/>
      <w:pPr>
        <w:tabs>
          <w:tab w:val="num" w:pos="1440"/>
        </w:tabs>
        <w:ind w:left="1440" w:hanging="360"/>
      </w:pPr>
      <w:rPr>
        <w:rFonts w:ascii="Arial" w:hAnsi="Arial" w:hint="default"/>
      </w:rPr>
    </w:lvl>
    <w:lvl w:ilvl="2" w:tplc="B9324A70" w:tentative="1">
      <w:start w:val="1"/>
      <w:numFmt w:val="bullet"/>
      <w:lvlText w:val="•"/>
      <w:lvlJc w:val="left"/>
      <w:pPr>
        <w:tabs>
          <w:tab w:val="num" w:pos="2160"/>
        </w:tabs>
        <w:ind w:left="2160" w:hanging="360"/>
      </w:pPr>
      <w:rPr>
        <w:rFonts w:ascii="Arial" w:hAnsi="Arial" w:hint="default"/>
      </w:rPr>
    </w:lvl>
    <w:lvl w:ilvl="3" w:tplc="040EEAAC" w:tentative="1">
      <w:start w:val="1"/>
      <w:numFmt w:val="bullet"/>
      <w:lvlText w:val="•"/>
      <w:lvlJc w:val="left"/>
      <w:pPr>
        <w:tabs>
          <w:tab w:val="num" w:pos="2880"/>
        </w:tabs>
        <w:ind w:left="2880" w:hanging="360"/>
      </w:pPr>
      <w:rPr>
        <w:rFonts w:ascii="Arial" w:hAnsi="Arial" w:hint="default"/>
      </w:rPr>
    </w:lvl>
    <w:lvl w:ilvl="4" w:tplc="64C076EC" w:tentative="1">
      <w:start w:val="1"/>
      <w:numFmt w:val="bullet"/>
      <w:lvlText w:val="•"/>
      <w:lvlJc w:val="left"/>
      <w:pPr>
        <w:tabs>
          <w:tab w:val="num" w:pos="3600"/>
        </w:tabs>
        <w:ind w:left="3600" w:hanging="360"/>
      </w:pPr>
      <w:rPr>
        <w:rFonts w:ascii="Arial" w:hAnsi="Arial" w:hint="default"/>
      </w:rPr>
    </w:lvl>
    <w:lvl w:ilvl="5" w:tplc="96E41E5A" w:tentative="1">
      <w:start w:val="1"/>
      <w:numFmt w:val="bullet"/>
      <w:lvlText w:val="•"/>
      <w:lvlJc w:val="left"/>
      <w:pPr>
        <w:tabs>
          <w:tab w:val="num" w:pos="4320"/>
        </w:tabs>
        <w:ind w:left="4320" w:hanging="360"/>
      </w:pPr>
      <w:rPr>
        <w:rFonts w:ascii="Arial" w:hAnsi="Arial" w:hint="default"/>
      </w:rPr>
    </w:lvl>
    <w:lvl w:ilvl="6" w:tplc="A57ACB4A" w:tentative="1">
      <w:start w:val="1"/>
      <w:numFmt w:val="bullet"/>
      <w:lvlText w:val="•"/>
      <w:lvlJc w:val="left"/>
      <w:pPr>
        <w:tabs>
          <w:tab w:val="num" w:pos="5040"/>
        </w:tabs>
        <w:ind w:left="5040" w:hanging="360"/>
      </w:pPr>
      <w:rPr>
        <w:rFonts w:ascii="Arial" w:hAnsi="Arial" w:hint="default"/>
      </w:rPr>
    </w:lvl>
    <w:lvl w:ilvl="7" w:tplc="75EAEE88" w:tentative="1">
      <w:start w:val="1"/>
      <w:numFmt w:val="bullet"/>
      <w:lvlText w:val="•"/>
      <w:lvlJc w:val="left"/>
      <w:pPr>
        <w:tabs>
          <w:tab w:val="num" w:pos="5760"/>
        </w:tabs>
        <w:ind w:left="5760" w:hanging="360"/>
      </w:pPr>
      <w:rPr>
        <w:rFonts w:ascii="Arial" w:hAnsi="Arial" w:hint="default"/>
      </w:rPr>
    </w:lvl>
    <w:lvl w:ilvl="8" w:tplc="9BA8FC8E" w:tentative="1">
      <w:start w:val="1"/>
      <w:numFmt w:val="bullet"/>
      <w:lvlText w:val="•"/>
      <w:lvlJc w:val="left"/>
      <w:pPr>
        <w:tabs>
          <w:tab w:val="num" w:pos="6480"/>
        </w:tabs>
        <w:ind w:left="6480" w:hanging="360"/>
      </w:pPr>
      <w:rPr>
        <w:rFonts w:ascii="Arial" w:hAnsi="Arial" w:hint="default"/>
      </w:rPr>
    </w:lvl>
  </w:abstractNum>
  <w:abstractNum w:abstractNumId="5">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465C14"/>
    <w:multiLevelType w:val="hybridMultilevel"/>
    <w:tmpl w:val="76867D00"/>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4E5017A4"/>
    <w:multiLevelType w:val="hybridMultilevel"/>
    <w:tmpl w:val="362EFD8C"/>
    <w:lvl w:ilvl="0" w:tplc="6FB04920">
      <w:start w:val="1"/>
      <w:numFmt w:val="bullet"/>
      <w:lvlText w:val="•"/>
      <w:lvlJc w:val="left"/>
      <w:pPr>
        <w:tabs>
          <w:tab w:val="num" w:pos="720"/>
        </w:tabs>
        <w:ind w:left="720" w:hanging="360"/>
      </w:pPr>
      <w:rPr>
        <w:rFonts w:ascii="Arial" w:hAnsi="Arial" w:hint="default"/>
      </w:rPr>
    </w:lvl>
    <w:lvl w:ilvl="1" w:tplc="DB7E0222" w:tentative="1">
      <w:start w:val="1"/>
      <w:numFmt w:val="bullet"/>
      <w:lvlText w:val="•"/>
      <w:lvlJc w:val="left"/>
      <w:pPr>
        <w:tabs>
          <w:tab w:val="num" w:pos="1440"/>
        </w:tabs>
        <w:ind w:left="1440" w:hanging="360"/>
      </w:pPr>
      <w:rPr>
        <w:rFonts w:ascii="Arial" w:hAnsi="Arial" w:hint="default"/>
      </w:rPr>
    </w:lvl>
    <w:lvl w:ilvl="2" w:tplc="393ABBFA" w:tentative="1">
      <w:start w:val="1"/>
      <w:numFmt w:val="bullet"/>
      <w:lvlText w:val="•"/>
      <w:lvlJc w:val="left"/>
      <w:pPr>
        <w:tabs>
          <w:tab w:val="num" w:pos="2160"/>
        </w:tabs>
        <w:ind w:left="2160" w:hanging="360"/>
      </w:pPr>
      <w:rPr>
        <w:rFonts w:ascii="Arial" w:hAnsi="Arial" w:hint="default"/>
      </w:rPr>
    </w:lvl>
    <w:lvl w:ilvl="3" w:tplc="FC782408" w:tentative="1">
      <w:start w:val="1"/>
      <w:numFmt w:val="bullet"/>
      <w:lvlText w:val="•"/>
      <w:lvlJc w:val="left"/>
      <w:pPr>
        <w:tabs>
          <w:tab w:val="num" w:pos="2880"/>
        </w:tabs>
        <w:ind w:left="2880" w:hanging="360"/>
      </w:pPr>
      <w:rPr>
        <w:rFonts w:ascii="Arial" w:hAnsi="Arial" w:hint="default"/>
      </w:rPr>
    </w:lvl>
    <w:lvl w:ilvl="4" w:tplc="91F85666" w:tentative="1">
      <w:start w:val="1"/>
      <w:numFmt w:val="bullet"/>
      <w:lvlText w:val="•"/>
      <w:lvlJc w:val="left"/>
      <w:pPr>
        <w:tabs>
          <w:tab w:val="num" w:pos="3600"/>
        </w:tabs>
        <w:ind w:left="3600" w:hanging="360"/>
      </w:pPr>
      <w:rPr>
        <w:rFonts w:ascii="Arial" w:hAnsi="Arial" w:hint="default"/>
      </w:rPr>
    </w:lvl>
    <w:lvl w:ilvl="5" w:tplc="ECC4A4FA" w:tentative="1">
      <w:start w:val="1"/>
      <w:numFmt w:val="bullet"/>
      <w:lvlText w:val="•"/>
      <w:lvlJc w:val="left"/>
      <w:pPr>
        <w:tabs>
          <w:tab w:val="num" w:pos="4320"/>
        </w:tabs>
        <w:ind w:left="4320" w:hanging="360"/>
      </w:pPr>
      <w:rPr>
        <w:rFonts w:ascii="Arial" w:hAnsi="Arial" w:hint="default"/>
      </w:rPr>
    </w:lvl>
    <w:lvl w:ilvl="6" w:tplc="7B9ECC9E" w:tentative="1">
      <w:start w:val="1"/>
      <w:numFmt w:val="bullet"/>
      <w:lvlText w:val="•"/>
      <w:lvlJc w:val="left"/>
      <w:pPr>
        <w:tabs>
          <w:tab w:val="num" w:pos="5040"/>
        </w:tabs>
        <w:ind w:left="5040" w:hanging="360"/>
      </w:pPr>
      <w:rPr>
        <w:rFonts w:ascii="Arial" w:hAnsi="Arial" w:hint="default"/>
      </w:rPr>
    </w:lvl>
    <w:lvl w:ilvl="7" w:tplc="44BEAFEA" w:tentative="1">
      <w:start w:val="1"/>
      <w:numFmt w:val="bullet"/>
      <w:lvlText w:val="•"/>
      <w:lvlJc w:val="left"/>
      <w:pPr>
        <w:tabs>
          <w:tab w:val="num" w:pos="5760"/>
        </w:tabs>
        <w:ind w:left="5760" w:hanging="360"/>
      </w:pPr>
      <w:rPr>
        <w:rFonts w:ascii="Arial" w:hAnsi="Arial" w:hint="default"/>
      </w:rPr>
    </w:lvl>
    <w:lvl w:ilvl="8" w:tplc="317CA896" w:tentative="1">
      <w:start w:val="1"/>
      <w:numFmt w:val="bullet"/>
      <w:lvlText w:val="•"/>
      <w:lvlJc w:val="left"/>
      <w:pPr>
        <w:tabs>
          <w:tab w:val="num" w:pos="6480"/>
        </w:tabs>
        <w:ind w:left="6480" w:hanging="360"/>
      </w:pPr>
      <w:rPr>
        <w:rFonts w:ascii="Arial" w:hAnsi="Arial" w:hint="default"/>
      </w:rPr>
    </w:lvl>
  </w:abstractNum>
  <w:abstractNum w:abstractNumId="13">
    <w:nsid w:val="510F6FAE"/>
    <w:multiLevelType w:val="multilevel"/>
    <w:tmpl w:val="D5FA7F4A"/>
    <w:lvl w:ilvl="0">
      <w:start w:val="1"/>
      <w:numFmt w:val="decimal"/>
      <w:pStyle w:val="Heading2"/>
      <w:lvlText w:val="%1."/>
      <w:lvlJc w:val="left"/>
      <w:pPr>
        <w:ind w:left="2486"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AC076D"/>
    <w:multiLevelType w:val="hybridMultilevel"/>
    <w:tmpl w:val="2B4A1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B931B10"/>
    <w:multiLevelType w:val="multilevel"/>
    <w:tmpl w:val="CA4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3"/>
  </w:num>
  <w:num w:numId="4">
    <w:abstractNumId w:val="18"/>
  </w:num>
  <w:num w:numId="5">
    <w:abstractNumId w:val="7"/>
  </w:num>
  <w:num w:numId="6">
    <w:abstractNumId w:val="14"/>
  </w:num>
  <w:num w:numId="7">
    <w:abstractNumId w:val="10"/>
  </w:num>
  <w:num w:numId="8">
    <w:abstractNumId w:val="19"/>
  </w:num>
  <w:num w:numId="9">
    <w:abstractNumId w:val="5"/>
  </w:num>
  <w:num w:numId="10">
    <w:abstractNumId w:val="16"/>
  </w:num>
  <w:num w:numId="11">
    <w:abstractNumId w:val="9"/>
  </w:num>
  <w:num w:numId="12">
    <w:abstractNumId w:val="15"/>
  </w:num>
  <w:num w:numId="13">
    <w:abstractNumId w:val="8"/>
  </w:num>
  <w:num w:numId="14">
    <w:abstractNumId w:val="11"/>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12"/>
  </w:num>
  <w:num w:numId="20">
    <w:abstractNumId w:val="2"/>
  </w:num>
  <w:num w:numId="21">
    <w:abstractNumId w:val="17"/>
  </w:num>
  <w:num w:numId="22">
    <w:abstractNumId w:val="4"/>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053B"/>
    <w:rsid w:val="000007BB"/>
    <w:rsid w:val="00006698"/>
    <w:rsid w:val="000110DC"/>
    <w:rsid w:val="00012290"/>
    <w:rsid w:val="00012B14"/>
    <w:rsid w:val="000158AA"/>
    <w:rsid w:val="000159B9"/>
    <w:rsid w:val="000160D4"/>
    <w:rsid w:val="00016B6E"/>
    <w:rsid w:val="00017309"/>
    <w:rsid w:val="0002013F"/>
    <w:rsid w:val="00020D04"/>
    <w:rsid w:val="0002247F"/>
    <w:rsid w:val="00023E21"/>
    <w:rsid w:val="00025ABC"/>
    <w:rsid w:val="00026412"/>
    <w:rsid w:val="000312A7"/>
    <w:rsid w:val="00031F6F"/>
    <w:rsid w:val="00034D6E"/>
    <w:rsid w:val="00040429"/>
    <w:rsid w:val="00043C53"/>
    <w:rsid w:val="000442E0"/>
    <w:rsid w:val="000449FB"/>
    <w:rsid w:val="00047A6A"/>
    <w:rsid w:val="0005089D"/>
    <w:rsid w:val="000525BC"/>
    <w:rsid w:val="00052A6A"/>
    <w:rsid w:val="0006284B"/>
    <w:rsid w:val="00073222"/>
    <w:rsid w:val="00074B95"/>
    <w:rsid w:val="000770BA"/>
    <w:rsid w:val="00077366"/>
    <w:rsid w:val="00086224"/>
    <w:rsid w:val="00092580"/>
    <w:rsid w:val="0009311E"/>
    <w:rsid w:val="00093206"/>
    <w:rsid w:val="00093C21"/>
    <w:rsid w:val="000955E7"/>
    <w:rsid w:val="000A110D"/>
    <w:rsid w:val="000A478F"/>
    <w:rsid w:val="000A4D73"/>
    <w:rsid w:val="000A5B32"/>
    <w:rsid w:val="000A7C1D"/>
    <w:rsid w:val="000B2908"/>
    <w:rsid w:val="000B3CD0"/>
    <w:rsid w:val="000C1F51"/>
    <w:rsid w:val="000D066E"/>
    <w:rsid w:val="000D0831"/>
    <w:rsid w:val="000D20D2"/>
    <w:rsid w:val="000D447A"/>
    <w:rsid w:val="000E0DC1"/>
    <w:rsid w:val="000E2676"/>
    <w:rsid w:val="000E47E7"/>
    <w:rsid w:val="000E5439"/>
    <w:rsid w:val="000E7504"/>
    <w:rsid w:val="0010168C"/>
    <w:rsid w:val="00102686"/>
    <w:rsid w:val="00105032"/>
    <w:rsid w:val="001075FB"/>
    <w:rsid w:val="0011036E"/>
    <w:rsid w:val="00110EBC"/>
    <w:rsid w:val="00110F93"/>
    <w:rsid w:val="001130B0"/>
    <w:rsid w:val="0011369B"/>
    <w:rsid w:val="00115EEC"/>
    <w:rsid w:val="001169EB"/>
    <w:rsid w:val="0011742E"/>
    <w:rsid w:val="00123D10"/>
    <w:rsid w:val="00124B00"/>
    <w:rsid w:val="00126B33"/>
    <w:rsid w:val="00131DD3"/>
    <w:rsid w:val="00140786"/>
    <w:rsid w:val="00144869"/>
    <w:rsid w:val="001507D0"/>
    <w:rsid w:val="00150D82"/>
    <w:rsid w:val="001523BF"/>
    <w:rsid w:val="00154B00"/>
    <w:rsid w:val="00155CEC"/>
    <w:rsid w:val="00161593"/>
    <w:rsid w:val="001644E9"/>
    <w:rsid w:val="00174AF1"/>
    <w:rsid w:val="001845D9"/>
    <w:rsid w:val="0018630F"/>
    <w:rsid w:val="001906CD"/>
    <w:rsid w:val="00191B99"/>
    <w:rsid w:val="001976E6"/>
    <w:rsid w:val="00197D29"/>
    <w:rsid w:val="001A02E3"/>
    <w:rsid w:val="001A1ADF"/>
    <w:rsid w:val="001A2BB3"/>
    <w:rsid w:val="001A365C"/>
    <w:rsid w:val="001A5148"/>
    <w:rsid w:val="001A719B"/>
    <w:rsid w:val="001B171D"/>
    <w:rsid w:val="001B29A1"/>
    <w:rsid w:val="001B5169"/>
    <w:rsid w:val="001B6164"/>
    <w:rsid w:val="001C3EF0"/>
    <w:rsid w:val="001D5570"/>
    <w:rsid w:val="001D6F64"/>
    <w:rsid w:val="001D77ED"/>
    <w:rsid w:val="001E1180"/>
    <w:rsid w:val="001E23EA"/>
    <w:rsid w:val="001E6919"/>
    <w:rsid w:val="001E6958"/>
    <w:rsid w:val="001E6A5F"/>
    <w:rsid w:val="001F14C5"/>
    <w:rsid w:val="001F1E72"/>
    <w:rsid w:val="001F4091"/>
    <w:rsid w:val="001F45D6"/>
    <w:rsid w:val="001F57A8"/>
    <w:rsid w:val="001F720F"/>
    <w:rsid w:val="00201924"/>
    <w:rsid w:val="00202473"/>
    <w:rsid w:val="002053F2"/>
    <w:rsid w:val="00206D63"/>
    <w:rsid w:val="0021183A"/>
    <w:rsid w:val="0021185D"/>
    <w:rsid w:val="00226777"/>
    <w:rsid w:val="00235BD1"/>
    <w:rsid w:val="00242B0E"/>
    <w:rsid w:val="00245B37"/>
    <w:rsid w:val="00247DF0"/>
    <w:rsid w:val="00250354"/>
    <w:rsid w:val="00250A78"/>
    <w:rsid w:val="00251943"/>
    <w:rsid w:val="002523A6"/>
    <w:rsid w:val="00252879"/>
    <w:rsid w:val="00254813"/>
    <w:rsid w:val="00257B89"/>
    <w:rsid w:val="00257FF2"/>
    <w:rsid w:val="00265822"/>
    <w:rsid w:val="0027105F"/>
    <w:rsid w:val="002711FB"/>
    <w:rsid w:val="00275D11"/>
    <w:rsid w:val="00283318"/>
    <w:rsid w:val="00284ACF"/>
    <w:rsid w:val="00284CB3"/>
    <w:rsid w:val="00285525"/>
    <w:rsid w:val="00294CD8"/>
    <w:rsid w:val="002A270B"/>
    <w:rsid w:val="002A40AE"/>
    <w:rsid w:val="002A50FD"/>
    <w:rsid w:val="002A6052"/>
    <w:rsid w:val="002A6753"/>
    <w:rsid w:val="002B28D7"/>
    <w:rsid w:val="002B6E15"/>
    <w:rsid w:val="002B7EB6"/>
    <w:rsid w:val="002C0B61"/>
    <w:rsid w:val="002C15E6"/>
    <w:rsid w:val="002C247D"/>
    <w:rsid w:val="002C3345"/>
    <w:rsid w:val="002C6568"/>
    <w:rsid w:val="002D007A"/>
    <w:rsid w:val="002D212F"/>
    <w:rsid w:val="002D409A"/>
    <w:rsid w:val="002F30E7"/>
    <w:rsid w:val="002F55EF"/>
    <w:rsid w:val="002F5F9C"/>
    <w:rsid w:val="003007FE"/>
    <w:rsid w:val="00300EEB"/>
    <w:rsid w:val="003013A9"/>
    <w:rsid w:val="003020B5"/>
    <w:rsid w:val="003027BB"/>
    <w:rsid w:val="00304828"/>
    <w:rsid w:val="00304FAC"/>
    <w:rsid w:val="00306077"/>
    <w:rsid w:val="00310A10"/>
    <w:rsid w:val="00312F2E"/>
    <w:rsid w:val="00321C36"/>
    <w:rsid w:val="00327D25"/>
    <w:rsid w:val="003319A7"/>
    <w:rsid w:val="00334AE9"/>
    <w:rsid w:val="00334FE3"/>
    <w:rsid w:val="00335957"/>
    <w:rsid w:val="00335ECA"/>
    <w:rsid w:val="00342005"/>
    <w:rsid w:val="003421AE"/>
    <w:rsid w:val="003433D1"/>
    <w:rsid w:val="0034422C"/>
    <w:rsid w:val="00344B24"/>
    <w:rsid w:val="003456B9"/>
    <w:rsid w:val="0035067D"/>
    <w:rsid w:val="00352047"/>
    <w:rsid w:val="00353A16"/>
    <w:rsid w:val="00355E01"/>
    <w:rsid w:val="0035776D"/>
    <w:rsid w:val="00362040"/>
    <w:rsid w:val="00363B3D"/>
    <w:rsid w:val="00364FA9"/>
    <w:rsid w:val="00364FD9"/>
    <w:rsid w:val="00367204"/>
    <w:rsid w:val="00367C1B"/>
    <w:rsid w:val="00376B61"/>
    <w:rsid w:val="00382407"/>
    <w:rsid w:val="00385B8A"/>
    <w:rsid w:val="00385E1E"/>
    <w:rsid w:val="00386A64"/>
    <w:rsid w:val="00386FA1"/>
    <w:rsid w:val="00390142"/>
    <w:rsid w:val="0039090E"/>
    <w:rsid w:val="00392AFE"/>
    <w:rsid w:val="00392F00"/>
    <w:rsid w:val="00397377"/>
    <w:rsid w:val="003A0817"/>
    <w:rsid w:val="003A22DE"/>
    <w:rsid w:val="003A2860"/>
    <w:rsid w:val="003A3C35"/>
    <w:rsid w:val="003A7D30"/>
    <w:rsid w:val="003B3C5C"/>
    <w:rsid w:val="003B4073"/>
    <w:rsid w:val="003C2560"/>
    <w:rsid w:val="003C33F6"/>
    <w:rsid w:val="003C47CA"/>
    <w:rsid w:val="003C6D91"/>
    <w:rsid w:val="003D18E6"/>
    <w:rsid w:val="003D19B4"/>
    <w:rsid w:val="003D2590"/>
    <w:rsid w:val="003D6DE1"/>
    <w:rsid w:val="003D795C"/>
    <w:rsid w:val="003E30FB"/>
    <w:rsid w:val="003F2711"/>
    <w:rsid w:val="003F6C70"/>
    <w:rsid w:val="003F7CB9"/>
    <w:rsid w:val="004020DA"/>
    <w:rsid w:val="00403333"/>
    <w:rsid w:val="004073A5"/>
    <w:rsid w:val="00407BB5"/>
    <w:rsid w:val="00411735"/>
    <w:rsid w:val="004171AE"/>
    <w:rsid w:val="00422BE0"/>
    <w:rsid w:val="004241CC"/>
    <w:rsid w:val="004243E8"/>
    <w:rsid w:val="0042780A"/>
    <w:rsid w:val="00434781"/>
    <w:rsid w:val="0043654D"/>
    <w:rsid w:val="00441472"/>
    <w:rsid w:val="00445681"/>
    <w:rsid w:val="00450A98"/>
    <w:rsid w:val="00451840"/>
    <w:rsid w:val="00457DE6"/>
    <w:rsid w:val="00460C9A"/>
    <w:rsid w:val="00464924"/>
    <w:rsid w:val="00464B89"/>
    <w:rsid w:val="00467E0B"/>
    <w:rsid w:val="00470C12"/>
    <w:rsid w:val="00471A5D"/>
    <w:rsid w:val="004725B6"/>
    <w:rsid w:val="004730FD"/>
    <w:rsid w:val="0047581D"/>
    <w:rsid w:val="00477FBF"/>
    <w:rsid w:val="00480289"/>
    <w:rsid w:val="00481279"/>
    <w:rsid w:val="00483368"/>
    <w:rsid w:val="0048679D"/>
    <w:rsid w:val="00494011"/>
    <w:rsid w:val="00495216"/>
    <w:rsid w:val="004A0BF4"/>
    <w:rsid w:val="004A263B"/>
    <w:rsid w:val="004A37BC"/>
    <w:rsid w:val="004A68EF"/>
    <w:rsid w:val="004B2357"/>
    <w:rsid w:val="004B62C0"/>
    <w:rsid w:val="004B68AE"/>
    <w:rsid w:val="004C35B0"/>
    <w:rsid w:val="004C49EF"/>
    <w:rsid w:val="004C4A19"/>
    <w:rsid w:val="004C4B54"/>
    <w:rsid w:val="004C5570"/>
    <w:rsid w:val="004D00C9"/>
    <w:rsid w:val="004D31AB"/>
    <w:rsid w:val="004D3E05"/>
    <w:rsid w:val="004E16F5"/>
    <w:rsid w:val="004E31D8"/>
    <w:rsid w:val="004E3CC7"/>
    <w:rsid w:val="004E54FF"/>
    <w:rsid w:val="004E5B69"/>
    <w:rsid w:val="004F2A87"/>
    <w:rsid w:val="004F30D9"/>
    <w:rsid w:val="004F33E5"/>
    <w:rsid w:val="004F499A"/>
    <w:rsid w:val="004F6464"/>
    <w:rsid w:val="0050517E"/>
    <w:rsid w:val="00507C56"/>
    <w:rsid w:val="005200C3"/>
    <w:rsid w:val="00521312"/>
    <w:rsid w:val="0052344E"/>
    <w:rsid w:val="00525429"/>
    <w:rsid w:val="00526478"/>
    <w:rsid w:val="00527E47"/>
    <w:rsid w:val="00530204"/>
    <w:rsid w:val="00534C5F"/>
    <w:rsid w:val="00535181"/>
    <w:rsid w:val="00540257"/>
    <w:rsid w:val="0054192F"/>
    <w:rsid w:val="00544EB3"/>
    <w:rsid w:val="0054594B"/>
    <w:rsid w:val="0054749B"/>
    <w:rsid w:val="00551CC6"/>
    <w:rsid w:val="00554257"/>
    <w:rsid w:val="0055531C"/>
    <w:rsid w:val="005553EA"/>
    <w:rsid w:val="00557FD3"/>
    <w:rsid w:val="00560541"/>
    <w:rsid w:val="005614E9"/>
    <w:rsid w:val="005660A3"/>
    <w:rsid w:val="005665BE"/>
    <w:rsid w:val="00566DC0"/>
    <w:rsid w:val="005672D0"/>
    <w:rsid w:val="0056740B"/>
    <w:rsid w:val="00570FB1"/>
    <w:rsid w:val="00572CEB"/>
    <w:rsid w:val="00573396"/>
    <w:rsid w:val="0057697E"/>
    <w:rsid w:val="00576C6F"/>
    <w:rsid w:val="005812C1"/>
    <w:rsid w:val="00582FB2"/>
    <w:rsid w:val="005834C9"/>
    <w:rsid w:val="00590112"/>
    <w:rsid w:val="00596F17"/>
    <w:rsid w:val="005A012F"/>
    <w:rsid w:val="005A1500"/>
    <w:rsid w:val="005A3400"/>
    <w:rsid w:val="005A58BA"/>
    <w:rsid w:val="005A5D30"/>
    <w:rsid w:val="005A6AB9"/>
    <w:rsid w:val="005B5FF1"/>
    <w:rsid w:val="005C16BC"/>
    <w:rsid w:val="005C2950"/>
    <w:rsid w:val="005C333E"/>
    <w:rsid w:val="005C3AE7"/>
    <w:rsid w:val="005C3C74"/>
    <w:rsid w:val="005D0677"/>
    <w:rsid w:val="005D4F56"/>
    <w:rsid w:val="005D51E1"/>
    <w:rsid w:val="005E0656"/>
    <w:rsid w:val="005E294C"/>
    <w:rsid w:val="005E2CE3"/>
    <w:rsid w:val="005E3EE1"/>
    <w:rsid w:val="005F033A"/>
    <w:rsid w:val="005F3F07"/>
    <w:rsid w:val="00600411"/>
    <w:rsid w:val="00603D04"/>
    <w:rsid w:val="00606857"/>
    <w:rsid w:val="00613767"/>
    <w:rsid w:val="00615EC1"/>
    <w:rsid w:val="00615F42"/>
    <w:rsid w:val="0062085E"/>
    <w:rsid w:val="00624644"/>
    <w:rsid w:val="00624904"/>
    <w:rsid w:val="006258C2"/>
    <w:rsid w:val="00626365"/>
    <w:rsid w:val="00630E22"/>
    <w:rsid w:val="00636BE5"/>
    <w:rsid w:val="0064103A"/>
    <w:rsid w:val="0064168C"/>
    <w:rsid w:val="00645CAC"/>
    <w:rsid w:val="00654048"/>
    <w:rsid w:val="00657B46"/>
    <w:rsid w:val="00673584"/>
    <w:rsid w:val="006742C3"/>
    <w:rsid w:val="006751A9"/>
    <w:rsid w:val="00675648"/>
    <w:rsid w:val="006764EC"/>
    <w:rsid w:val="006835FE"/>
    <w:rsid w:val="00685B66"/>
    <w:rsid w:val="00693BFD"/>
    <w:rsid w:val="00695065"/>
    <w:rsid w:val="006A1038"/>
    <w:rsid w:val="006A3A71"/>
    <w:rsid w:val="006A3FC8"/>
    <w:rsid w:val="006A649A"/>
    <w:rsid w:val="006B1B49"/>
    <w:rsid w:val="006B1D79"/>
    <w:rsid w:val="006B6390"/>
    <w:rsid w:val="006C0356"/>
    <w:rsid w:val="006C0843"/>
    <w:rsid w:val="006C5DA7"/>
    <w:rsid w:val="006C74B1"/>
    <w:rsid w:val="006D203C"/>
    <w:rsid w:val="006D4993"/>
    <w:rsid w:val="006D65D8"/>
    <w:rsid w:val="006E57AA"/>
    <w:rsid w:val="006E655F"/>
    <w:rsid w:val="006F0F6F"/>
    <w:rsid w:val="006F20CF"/>
    <w:rsid w:val="006F38ED"/>
    <w:rsid w:val="00702997"/>
    <w:rsid w:val="00705D9A"/>
    <w:rsid w:val="00706500"/>
    <w:rsid w:val="00707D4D"/>
    <w:rsid w:val="00710728"/>
    <w:rsid w:val="00714FC4"/>
    <w:rsid w:val="00720D86"/>
    <w:rsid w:val="00723503"/>
    <w:rsid w:val="007245A3"/>
    <w:rsid w:val="00727DBF"/>
    <w:rsid w:val="00730C04"/>
    <w:rsid w:val="00731248"/>
    <w:rsid w:val="007325FB"/>
    <w:rsid w:val="0073597B"/>
    <w:rsid w:val="007378F6"/>
    <w:rsid w:val="007453F8"/>
    <w:rsid w:val="0074545D"/>
    <w:rsid w:val="007522E3"/>
    <w:rsid w:val="0075335B"/>
    <w:rsid w:val="00753C44"/>
    <w:rsid w:val="00754383"/>
    <w:rsid w:val="007564D1"/>
    <w:rsid w:val="00757232"/>
    <w:rsid w:val="00760679"/>
    <w:rsid w:val="00763628"/>
    <w:rsid w:val="00767E99"/>
    <w:rsid w:val="00772E62"/>
    <w:rsid w:val="007730CB"/>
    <w:rsid w:val="0077789B"/>
    <w:rsid w:val="007778C7"/>
    <w:rsid w:val="00780D29"/>
    <w:rsid w:val="00782CAD"/>
    <w:rsid w:val="00790FA3"/>
    <w:rsid w:val="0079146A"/>
    <w:rsid w:val="00791C8D"/>
    <w:rsid w:val="00794181"/>
    <w:rsid w:val="00794817"/>
    <w:rsid w:val="007977DB"/>
    <w:rsid w:val="007A18C1"/>
    <w:rsid w:val="007A7F6F"/>
    <w:rsid w:val="007B1772"/>
    <w:rsid w:val="007B4C76"/>
    <w:rsid w:val="007C2260"/>
    <w:rsid w:val="007C592D"/>
    <w:rsid w:val="007C7A39"/>
    <w:rsid w:val="007D1E52"/>
    <w:rsid w:val="007D2358"/>
    <w:rsid w:val="007D62E2"/>
    <w:rsid w:val="007E39E4"/>
    <w:rsid w:val="007E5ABA"/>
    <w:rsid w:val="007E6FB3"/>
    <w:rsid w:val="007E7F4C"/>
    <w:rsid w:val="007F21B4"/>
    <w:rsid w:val="007F3551"/>
    <w:rsid w:val="007F3FCD"/>
    <w:rsid w:val="007F7B83"/>
    <w:rsid w:val="00802553"/>
    <w:rsid w:val="00803EAB"/>
    <w:rsid w:val="00804098"/>
    <w:rsid w:val="008046B5"/>
    <w:rsid w:val="00806C75"/>
    <w:rsid w:val="008127C0"/>
    <w:rsid w:val="00812EDD"/>
    <w:rsid w:val="008139C5"/>
    <w:rsid w:val="0081493B"/>
    <w:rsid w:val="0081624A"/>
    <w:rsid w:val="00816260"/>
    <w:rsid w:val="0081650F"/>
    <w:rsid w:val="00817690"/>
    <w:rsid w:val="00821339"/>
    <w:rsid w:val="00826140"/>
    <w:rsid w:val="00830001"/>
    <w:rsid w:val="00831972"/>
    <w:rsid w:val="00832B31"/>
    <w:rsid w:val="008403E0"/>
    <w:rsid w:val="0084657B"/>
    <w:rsid w:val="00851D0D"/>
    <w:rsid w:val="00855944"/>
    <w:rsid w:val="00863824"/>
    <w:rsid w:val="00864A18"/>
    <w:rsid w:val="008672D1"/>
    <w:rsid w:val="00870833"/>
    <w:rsid w:val="00872D5E"/>
    <w:rsid w:val="00874571"/>
    <w:rsid w:val="008803A3"/>
    <w:rsid w:val="00880A6A"/>
    <w:rsid w:val="00881F93"/>
    <w:rsid w:val="008821AE"/>
    <w:rsid w:val="00882CB5"/>
    <w:rsid w:val="00883641"/>
    <w:rsid w:val="00884E69"/>
    <w:rsid w:val="00885E44"/>
    <w:rsid w:val="00885EA1"/>
    <w:rsid w:val="00890082"/>
    <w:rsid w:val="008923F4"/>
    <w:rsid w:val="008A29AC"/>
    <w:rsid w:val="008A34A3"/>
    <w:rsid w:val="008A48D2"/>
    <w:rsid w:val="008B2610"/>
    <w:rsid w:val="008B3D48"/>
    <w:rsid w:val="008B471D"/>
    <w:rsid w:val="008B49E4"/>
    <w:rsid w:val="008B729C"/>
    <w:rsid w:val="008C4A93"/>
    <w:rsid w:val="008D0E96"/>
    <w:rsid w:val="008D37A9"/>
    <w:rsid w:val="008D7553"/>
    <w:rsid w:val="008E0E49"/>
    <w:rsid w:val="008E2F01"/>
    <w:rsid w:val="008E35FD"/>
    <w:rsid w:val="008E6227"/>
    <w:rsid w:val="008F0B4E"/>
    <w:rsid w:val="008F50DA"/>
    <w:rsid w:val="009022A8"/>
    <w:rsid w:val="0090543D"/>
    <w:rsid w:val="009056C5"/>
    <w:rsid w:val="0090621E"/>
    <w:rsid w:val="009063CD"/>
    <w:rsid w:val="009068C6"/>
    <w:rsid w:val="009106C2"/>
    <w:rsid w:val="00910915"/>
    <w:rsid w:val="0091163F"/>
    <w:rsid w:val="00913E9B"/>
    <w:rsid w:val="00916D1E"/>
    <w:rsid w:val="0092612F"/>
    <w:rsid w:val="009262F2"/>
    <w:rsid w:val="0093159A"/>
    <w:rsid w:val="00932AA4"/>
    <w:rsid w:val="00937791"/>
    <w:rsid w:val="0094346E"/>
    <w:rsid w:val="00951933"/>
    <w:rsid w:val="00951E6E"/>
    <w:rsid w:val="00953495"/>
    <w:rsid w:val="00954343"/>
    <w:rsid w:val="00954EFA"/>
    <w:rsid w:val="00955271"/>
    <w:rsid w:val="00957BE7"/>
    <w:rsid w:val="00963C9C"/>
    <w:rsid w:val="00965B6B"/>
    <w:rsid w:val="00971EDB"/>
    <w:rsid w:val="00974D50"/>
    <w:rsid w:val="00980898"/>
    <w:rsid w:val="00987ABE"/>
    <w:rsid w:val="00991449"/>
    <w:rsid w:val="00991EE4"/>
    <w:rsid w:val="009939DC"/>
    <w:rsid w:val="00993B9C"/>
    <w:rsid w:val="009A3EC3"/>
    <w:rsid w:val="009B48B7"/>
    <w:rsid w:val="009B4E1E"/>
    <w:rsid w:val="009B5639"/>
    <w:rsid w:val="009C03FB"/>
    <w:rsid w:val="009C2339"/>
    <w:rsid w:val="009C23EE"/>
    <w:rsid w:val="009C4B4F"/>
    <w:rsid w:val="009D29B5"/>
    <w:rsid w:val="009D4ABD"/>
    <w:rsid w:val="009D5354"/>
    <w:rsid w:val="009E3C32"/>
    <w:rsid w:val="009E40AF"/>
    <w:rsid w:val="009F0C02"/>
    <w:rsid w:val="009F46CC"/>
    <w:rsid w:val="009F5758"/>
    <w:rsid w:val="00A011DD"/>
    <w:rsid w:val="00A0283F"/>
    <w:rsid w:val="00A04F4A"/>
    <w:rsid w:val="00A07EDD"/>
    <w:rsid w:val="00A15E76"/>
    <w:rsid w:val="00A26343"/>
    <w:rsid w:val="00A34959"/>
    <w:rsid w:val="00A408B5"/>
    <w:rsid w:val="00A529E2"/>
    <w:rsid w:val="00A539F8"/>
    <w:rsid w:val="00A61316"/>
    <w:rsid w:val="00A630D7"/>
    <w:rsid w:val="00A6491A"/>
    <w:rsid w:val="00A653D2"/>
    <w:rsid w:val="00A6594E"/>
    <w:rsid w:val="00A66D24"/>
    <w:rsid w:val="00A67350"/>
    <w:rsid w:val="00A727B6"/>
    <w:rsid w:val="00A74195"/>
    <w:rsid w:val="00A76EB8"/>
    <w:rsid w:val="00A77F8E"/>
    <w:rsid w:val="00A81CC6"/>
    <w:rsid w:val="00A83EC6"/>
    <w:rsid w:val="00A8732C"/>
    <w:rsid w:val="00A9062D"/>
    <w:rsid w:val="00A9187C"/>
    <w:rsid w:val="00A93F58"/>
    <w:rsid w:val="00A95163"/>
    <w:rsid w:val="00A96329"/>
    <w:rsid w:val="00A96FF0"/>
    <w:rsid w:val="00AA134B"/>
    <w:rsid w:val="00AA2CFE"/>
    <w:rsid w:val="00AA4899"/>
    <w:rsid w:val="00AA5FDA"/>
    <w:rsid w:val="00AA6291"/>
    <w:rsid w:val="00AB08AC"/>
    <w:rsid w:val="00AC0C91"/>
    <w:rsid w:val="00AC0D1C"/>
    <w:rsid w:val="00AD37D4"/>
    <w:rsid w:val="00AD657B"/>
    <w:rsid w:val="00AD71CE"/>
    <w:rsid w:val="00AD7986"/>
    <w:rsid w:val="00AE1188"/>
    <w:rsid w:val="00AE6BBC"/>
    <w:rsid w:val="00AE738C"/>
    <w:rsid w:val="00AF1046"/>
    <w:rsid w:val="00AF4466"/>
    <w:rsid w:val="00AF5D1E"/>
    <w:rsid w:val="00B040A9"/>
    <w:rsid w:val="00B042E5"/>
    <w:rsid w:val="00B0564B"/>
    <w:rsid w:val="00B1580E"/>
    <w:rsid w:val="00B1711E"/>
    <w:rsid w:val="00B17CBE"/>
    <w:rsid w:val="00B17E26"/>
    <w:rsid w:val="00B23193"/>
    <w:rsid w:val="00B231A4"/>
    <w:rsid w:val="00B25D20"/>
    <w:rsid w:val="00B315AF"/>
    <w:rsid w:val="00B31C99"/>
    <w:rsid w:val="00B45834"/>
    <w:rsid w:val="00B46E7F"/>
    <w:rsid w:val="00B53BA6"/>
    <w:rsid w:val="00B54018"/>
    <w:rsid w:val="00B5731D"/>
    <w:rsid w:val="00B60461"/>
    <w:rsid w:val="00B612D8"/>
    <w:rsid w:val="00B61DF2"/>
    <w:rsid w:val="00B6378B"/>
    <w:rsid w:val="00B63900"/>
    <w:rsid w:val="00B63E3A"/>
    <w:rsid w:val="00B6599E"/>
    <w:rsid w:val="00B66528"/>
    <w:rsid w:val="00B71C91"/>
    <w:rsid w:val="00B72D7A"/>
    <w:rsid w:val="00B74CC4"/>
    <w:rsid w:val="00B75965"/>
    <w:rsid w:val="00B76F00"/>
    <w:rsid w:val="00B771AD"/>
    <w:rsid w:val="00B77315"/>
    <w:rsid w:val="00B814CB"/>
    <w:rsid w:val="00B838F8"/>
    <w:rsid w:val="00B83F19"/>
    <w:rsid w:val="00B845C8"/>
    <w:rsid w:val="00B9378D"/>
    <w:rsid w:val="00B9458F"/>
    <w:rsid w:val="00B953A5"/>
    <w:rsid w:val="00BA0CF8"/>
    <w:rsid w:val="00BA0FEA"/>
    <w:rsid w:val="00BA1ADF"/>
    <w:rsid w:val="00BA2FF7"/>
    <w:rsid w:val="00BA4DFF"/>
    <w:rsid w:val="00BA4E4D"/>
    <w:rsid w:val="00BA51FC"/>
    <w:rsid w:val="00BA6329"/>
    <w:rsid w:val="00BA6F91"/>
    <w:rsid w:val="00BB003A"/>
    <w:rsid w:val="00BB131F"/>
    <w:rsid w:val="00BB3358"/>
    <w:rsid w:val="00BB3382"/>
    <w:rsid w:val="00BB3643"/>
    <w:rsid w:val="00BC1DEA"/>
    <w:rsid w:val="00BC3DA0"/>
    <w:rsid w:val="00BC424B"/>
    <w:rsid w:val="00BC6835"/>
    <w:rsid w:val="00BD1CF2"/>
    <w:rsid w:val="00BE0FDE"/>
    <w:rsid w:val="00BE357A"/>
    <w:rsid w:val="00BE7232"/>
    <w:rsid w:val="00BF3455"/>
    <w:rsid w:val="00BF695B"/>
    <w:rsid w:val="00BF6AC5"/>
    <w:rsid w:val="00C01121"/>
    <w:rsid w:val="00C030A5"/>
    <w:rsid w:val="00C05A45"/>
    <w:rsid w:val="00C0796F"/>
    <w:rsid w:val="00C11AED"/>
    <w:rsid w:val="00C11B34"/>
    <w:rsid w:val="00C12C5C"/>
    <w:rsid w:val="00C13845"/>
    <w:rsid w:val="00C171FB"/>
    <w:rsid w:val="00C209C2"/>
    <w:rsid w:val="00C21091"/>
    <w:rsid w:val="00C2267F"/>
    <w:rsid w:val="00C22AD8"/>
    <w:rsid w:val="00C304F7"/>
    <w:rsid w:val="00C32BFD"/>
    <w:rsid w:val="00C3557E"/>
    <w:rsid w:val="00C3594B"/>
    <w:rsid w:val="00C4221B"/>
    <w:rsid w:val="00C43102"/>
    <w:rsid w:val="00C45B05"/>
    <w:rsid w:val="00C4696B"/>
    <w:rsid w:val="00C50513"/>
    <w:rsid w:val="00C5258C"/>
    <w:rsid w:val="00C54503"/>
    <w:rsid w:val="00C63055"/>
    <w:rsid w:val="00C63CB6"/>
    <w:rsid w:val="00C66D8C"/>
    <w:rsid w:val="00C71C82"/>
    <w:rsid w:val="00C73B62"/>
    <w:rsid w:val="00C7440A"/>
    <w:rsid w:val="00C776B1"/>
    <w:rsid w:val="00C80BAF"/>
    <w:rsid w:val="00C815FE"/>
    <w:rsid w:val="00C847AE"/>
    <w:rsid w:val="00C908A4"/>
    <w:rsid w:val="00CA04C6"/>
    <w:rsid w:val="00CA0914"/>
    <w:rsid w:val="00CA26DD"/>
    <w:rsid w:val="00CB00B5"/>
    <w:rsid w:val="00CB12EC"/>
    <w:rsid w:val="00CB7700"/>
    <w:rsid w:val="00CC09D7"/>
    <w:rsid w:val="00CC12B8"/>
    <w:rsid w:val="00CC2B8A"/>
    <w:rsid w:val="00CC4B8F"/>
    <w:rsid w:val="00CC502D"/>
    <w:rsid w:val="00CC5DA9"/>
    <w:rsid w:val="00CC63F8"/>
    <w:rsid w:val="00CD080E"/>
    <w:rsid w:val="00CD22E3"/>
    <w:rsid w:val="00CD2320"/>
    <w:rsid w:val="00CD4E44"/>
    <w:rsid w:val="00CD5AE4"/>
    <w:rsid w:val="00CD7A7D"/>
    <w:rsid w:val="00CF0AB3"/>
    <w:rsid w:val="00CF1F44"/>
    <w:rsid w:val="00CF2D8E"/>
    <w:rsid w:val="00CF2DFA"/>
    <w:rsid w:val="00CF5AD8"/>
    <w:rsid w:val="00D00122"/>
    <w:rsid w:val="00D0060D"/>
    <w:rsid w:val="00D01384"/>
    <w:rsid w:val="00D01D2A"/>
    <w:rsid w:val="00D06D92"/>
    <w:rsid w:val="00D10B47"/>
    <w:rsid w:val="00D11EB1"/>
    <w:rsid w:val="00D177E9"/>
    <w:rsid w:val="00D17F17"/>
    <w:rsid w:val="00D23597"/>
    <w:rsid w:val="00D25CD3"/>
    <w:rsid w:val="00D276FF"/>
    <w:rsid w:val="00D30BDC"/>
    <w:rsid w:val="00D34B11"/>
    <w:rsid w:val="00D35724"/>
    <w:rsid w:val="00D47CFB"/>
    <w:rsid w:val="00D50325"/>
    <w:rsid w:val="00D517AE"/>
    <w:rsid w:val="00D55D65"/>
    <w:rsid w:val="00D57F88"/>
    <w:rsid w:val="00D6191C"/>
    <w:rsid w:val="00D63B19"/>
    <w:rsid w:val="00D7105C"/>
    <w:rsid w:val="00D73646"/>
    <w:rsid w:val="00D7694A"/>
    <w:rsid w:val="00D777B4"/>
    <w:rsid w:val="00D77A90"/>
    <w:rsid w:val="00D813B7"/>
    <w:rsid w:val="00D81CDC"/>
    <w:rsid w:val="00D8360B"/>
    <w:rsid w:val="00D85676"/>
    <w:rsid w:val="00D85D06"/>
    <w:rsid w:val="00D940C3"/>
    <w:rsid w:val="00D963FF"/>
    <w:rsid w:val="00D96ADA"/>
    <w:rsid w:val="00DA2886"/>
    <w:rsid w:val="00DA568B"/>
    <w:rsid w:val="00DA5E50"/>
    <w:rsid w:val="00DA7D0C"/>
    <w:rsid w:val="00DB311C"/>
    <w:rsid w:val="00DB432D"/>
    <w:rsid w:val="00DB519B"/>
    <w:rsid w:val="00DC0191"/>
    <w:rsid w:val="00DC1C5A"/>
    <w:rsid w:val="00DC7694"/>
    <w:rsid w:val="00DC7FBE"/>
    <w:rsid w:val="00DD130E"/>
    <w:rsid w:val="00DD308E"/>
    <w:rsid w:val="00DD5339"/>
    <w:rsid w:val="00DD5DFC"/>
    <w:rsid w:val="00DD7C7F"/>
    <w:rsid w:val="00DE56A0"/>
    <w:rsid w:val="00DE748B"/>
    <w:rsid w:val="00DF0C51"/>
    <w:rsid w:val="00DF0D47"/>
    <w:rsid w:val="00DF0E48"/>
    <w:rsid w:val="00DF1652"/>
    <w:rsid w:val="00DF5052"/>
    <w:rsid w:val="00DF6B11"/>
    <w:rsid w:val="00DF6D37"/>
    <w:rsid w:val="00E048ED"/>
    <w:rsid w:val="00E04FB3"/>
    <w:rsid w:val="00E058F2"/>
    <w:rsid w:val="00E05D9C"/>
    <w:rsid w:val="00E06102"/>
    <w:rsid w:val="00E121E8"/>
    <w:rsid w:val="00E15298"/>
    <w:rsid w:val="00E20C1B"/>
    <w:rsid w:val="00E23E71"/>
    <w:rsid w:val="00E30E01"/>
    <w:rsid w:val="00E30F19"/>
    <w:rsid w:val="00E33C4A"/>
    <w:rsid w:val="00E33D06"/>
    <w:rsid w:val="00E357B9"/>
    <w:rsid w:val="00E366FD"/>
    <w:rsid w:val="00E4321E"/>
    <w:rsid w:val="00E44B80"/>
    <w:rsid w:val="00E45BEA"/>
    <w:rsid w:val="00E47623"/>
    <w:rsid w:val="00E57AEA"/>
    <w:rsid w:val="00E60529"/>
    <w:rsid w:val="00E60ED8"/>
    <w:rsid w:val="00E66B09"/>
    <w:rsid w:val="00E66F3D"/>
    <w:rsid w:val="00E70D86"/>
    <w:rsid w:val="00E73D15"/>
    <w:rsid w:val="00E7628E"/>
    <w:rsid w:val="00E80A33"/>
    <w:rsid w:val="00E813B1"/>
    <w:rsid w:val="00E82F54"/>
    <w:rsid w:val="00E83424"/>
    <w:rsid w:val="00E85C4E"/>
    <w:rsid w:val="00E8649B"/>
    <w:rsid w:val="00E86FE1"/>
    <w:rsid w:val="00E871CD"/>
    <w:rsid w:val="00E90990"/>
    <w:rsid w:val="00E912ED"/>
    <w:rsid w:val="00E914C3"/>
    <w:rsid w:val="00E95D3D"/>
    <w:rsid w:val="00E96DFE"/>
    <w:rsid w:val="00E97809"/>
    <w:rsid w:val="00E97C4B"/>
    <w:rsid w:val="00EA0E25"/>
    <w:rsid w:val="00EA173C"/>
    <w:rsid w:val="00EB0182"/>
    <w:rsid w:val="00EC127A"/>
    <w:rsid w:val="00EC1E81"/>
    <w:rsid w:val="00EC1FF9"/>
    <w:rsid w:val="00EC2737"/>
    <w:rsid w:val="00EC4163"/>
    <w:rsid w:val="00ED41F0"/>
    <w:rsid w:val="00ED4529"/>
    <w:rsid w:val="00ED51A0"/>
    <w:rsid w:val="00ED6358"/>
    <w:rsid w:val="00ED6B90"/>
    <w:rsid w:val="00EE0817"/>
    <w:rsid w:val="00EE2716"/>
    <w:rsid w:val="00EE3375"/>
    <w:rsid w:val="00EE37BA"/>
    <w:rsid w:val="00EE6450"/>
    <w:rsid w:val="00EF53DF"/>
    <w:rsid w:val="00EF7CDD"/>
    <w:rsid w:val="00EF7FFA"/>
    <w:rsid w:val="00F002E0"/>
    <w:rsid w:val="00F00BA5"/>
    <w:rsid w:val="00F01C2C"/>
    <w:rsid w:val="00F042B6"/>
    <w:rsid w:val="00F10ED8"/>
    <w:rsid w:val="00F168B0"/>
    <w:rsid w:val="00F222BE"/>
    <w:rsid w:val="00F24179"/>
    <w:rsid w:val="00F241A9"/>
    <w:rsid w:val="00F25311"/>
    <w:rsid w:val="00F301F1"/>
    <w:rsid w:val="00F30C22"/>
    <w:rsid w:val="00F33F1A"/>
    <w:rsid w:val="00F34AEC"/>
    <w:rsid w:val="00F36123"/>
    <w:rsid w:val="00F40887"/>
    <w:rsid w:val="00F410F2"/>
    <w:rsid w:val="00F41B45"/>
    <w:rsid w:val="00F45B23"/>
    <w:rsid w:val="00F547F7"/>
    <w:rsid w:val="00F54CCF"/>
    <w:rsid w:val="00F561C6"/>
    <w:rsid w:val="00F56939"/>
    <w:rsid w:val="00F61D7A"/>
    <w:rsid w:val="00F637B3"/>
    <w:rsid w:val="00F63A62"/>
    <w:rsid w:val="00F66CF7"/>
    <w:rsid w:val="00F67BCB"/>
    <w:rsid w:val="00F7175D"/>
    <w:rsid w:val="00F77C57"/>
    <w:rsid w:val="00F813C7"/>
    <w:rsid w:val="00F83566"/>
    <w:rsid w:val="00F8363B"/>
    <w:rsid w:val="00F83A9D"/>
    <w:rsid w:val="00F8792A"/>
    <w:rsid w:val="00F906B5"/>
    <w:rsid w:val="00F914A2"/>
    <w:rsid w:val="00F93431"/>
    <w:rsid w:val="00F93784"/>
    <w:rsid w:val="00F96B90"/>
    <w:rsid w:val="00F971CC"/>
    <w:rsid w:val="00FA2CAA"/>
    <w:rsid w:val="00FA3DA1"/>
    <w:rsid w:val="00FA6554"/>
    <w:rsid w:val="00FB06BB"/>
    <w:rsid w:val="00FB1C01"/>
    <w:rsid w:val="00FD2985"/>
    <w:rsid w:val="00FD5091"/>
    <w:rsid w:val="00FE16C1"/>
    <w:rsid w:val="00FE19FF"/>
    <w:rsid w:val="00FE33A6"/>
    <w:rsid w:val="00FE5452"/>
    <w:rsid w:val="00FE5E88"/>
    <w:rsid w:val="00FF0209"/>
    <w:rsid w:val="00FF1A00"/>
    <w:rsid w:val="00FF4339"/>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paragraph" w:styleId="Heading4">
    <w:name w:val="heading 4"/>
    <w:basedOn w:val="Normal"/>
    <w:next w:val="Normal"/>
    <w:link w:val="Heading4Char"/>
    <w:uiPriority w:val="9"/>
    <w:semiHidden/>
    <w:unhideWhenUsed/>
    <w:qFormat/>
    <w:rsid w:val="005733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aliases w:val="-H18"/>
    <w:basedOn w:val="DefaultParagraphFont"/>
    <w:unhideWhenUsed/>
    <w:rsid w:val="005A6AB9"/>
    <w:rPr>
      <w:sz w:val="16"/>
      <w:szCs w:val="16"/>
    </w:rPr>
  </w:style>
  <w:style w:type="paragraph" w:styleId="CommentText">
    <w:name w:val="annotation text"/>
    <w:aliases w:val="- H19"/>
    <w:basedOn w:val="Normal"/>
    <w:link w:val="CommentTextChar"/>
    <w:unhideWhenUsed/>
    <w:rsid w:val="005A6AB9"/>
    <w:rPr>
      <w:szCs w:val="20"/>
    </w:rPr>
  </w:style>
  <w:style w:type="character" w:customStyle="1" w:styleId="CommentTextChar">
    <w:name w:val="Comment Text Char"/>
    <w:aliases w:val="- H19 Char"/>
    <w:basedOn w:val="DefaultParagraphFont"/>
    <w:link w:val="CommentText"/>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AACrossref">
    <w:name w:val="AA Cross ref"/>
    <w:basedOn w:val="Normal"/>
    <w:link w:val="AACrossrefChar"/>
    <w:qFormat/>
    <w:rsid w:val="00250A78"/>
    <w:pPr>
      <w:keepNext/>
      <w:keepLines/>
      <w:spacing w:before="100" w:beforeAutospacing="1" w:after="100" w:afterAutospacing="1"/>
    </w:pPr>
    <w:rPr>
      <w:rFonts w:ascii="Arial" w:eastAsiaTheme="minorEastAsia" w:hAnsi="Arial"/>
      <w:b/>
      <w:color w:val="0000FF"/>
      <w:u w:val="single"/>
      <w:lang w:val="en-GB" w:eastAsia="en-GB"/>
    </w:rPr>
  </w:style>
  <w:style w:type="character" w:customStyle="1" w:styleId="AACrossrefChar">
    <w:name w:val="AA Cross ref Char"/>
    <w:basedOn w:val="DefaultParagraphFont"/>
    <w:link w:val="AACrossref"/>
    <w:rsid w:val="00250A78"/>
    <w:rPr>
      <w:rFonts w:ascii="Arial" w:eastAsiaTheme="minorEastAsia" w:hAnsi="Arial"/>
      <w:b/>
      <w:color w:val="0000FF"/>
      <w:sz w:val="20"/>
      <w:u w:val="single"/>
      <w:lang w:val="en-GB" w:eastAsia="en-GB"/>
    </w:rPr>
  </w:style>
  <w:style w:type="character" w:customStyle="1" w:styleId="highlight">
    <w:name w:val="highlight"/>
    <w:basedOn w:val="DefaultParagraphFont"/>
    <w:rsid w:val="00250A78"/>
  </w:style>
  <w:style w:type="character" w:customStyle="1" w:styleId="apple-converted-space">
    <w:name w:val="apple-converted-space"/>
    <w:basedOn w:val="DefaultParagraphFont"/>
    <w:rsid w:val="00250A78"/>
  </w:style>
  <w:style w:type="paragraph" w:styleId="FootnoteText">
    <w:name w:val="footnote text"/>
    <w:basedOn w:val="Normal"/>
    <w:link w:val="FootnoteTextChar"/>
    <w:semiHidden/>
    <w:rsid w:val="00EE37BA"/>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semiHidden/>
    <w:rsid w:val="00EE37B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E37BA"/>
    <w:rPr>
      <w:vertAlign w:val="superscript"/>
    </w:rPr>
  </w:style>
  <w:style w:type="character" w:customStyle="1" w:styleId="Heading4Char">
    <w:name w:val="Heading 4 Char"/>
    <w:basedOn w:val="DefaultParagraphFont"/>
    <w:link w:val="Heading4"/>
    <w:uiPriority w:val="9"/>
    <w:semiHidden/>
    <w:rsid w:val="00573396"/>
    <w:rPr>
      <w:rFonts w:asciiTheme="majorHAnsi" w:eastAsiaTheme="majorEastAsia" w:hAnsiTheme="majorHAnsi" w:cstheme="majorBidi"/>
      <w:i/>
      <w:iCs/>
      <w:color w:val="365F91" w:themeColor="accent1" w:themeShade="BF"/>
      <w:sz w:val="20"/>
    </w:rPr>
  </w:style>
  <w:style w:type="paragraph" w:customStyle="1" w:styleId="TableText">
    <w:name w:val="Table Text"/>
    <w:basedOn w:val="Normal"/>
    <w:link w:val="TableTextChar"/>
    <w:qFormat/>
    <w:rsid w:val="00573396"/>
    <w:pPr>
      <w:spacing w:before="20" w:after="20" w:line="276" w:lineRule="auto"/>
    </w:pPr>
    <w:rPr>
      <w:rFonts w:ascii="Arial" w:eastAsiaTheme="majorEastAsia" w:hAnsi="Arial" w:cs="Arial"/>
      <w:szCs w:val="20"/>
      <w:lang w:bidi="en-US"/>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573396"/>
    <w:pPr>
      <w:spacing w:before="0" w:after="200"/>
      <w:jc w:val="both"/>
    </w:pPr>
    <w:rPr>
      <w:rFonts w:ascii="Arial" w:hAnsi="Arial"/>
      <w:b/>
      <w:iCs/>
      <w:color w:val="000000" w:themeColor="text1"/>
      <w:sz w:val="22"/>
      <w:szCs w:val="18"/>
    </w:rPr>
  </w:style>
  <w:style w:type="paragraph" w:customStyle="1" w:styleId="Sources">
    <w:name w:val="Sources"/>
    <w:basedOn w:val="Normal"/>
    <w:qFormat/>
    <w:rsid w:val="00573396"/>
    <w:pPr>
      <w:jc w:val="both"/>
    </w:pPr>
    <w:rPr>
      <w:rFonts w:ascii="Arial" w:hAnsi="Arial"/>
      <w:sz w:val="16"/>
    </w:rPr>
  </w:style>
  <w:style w:type="character" w:customStyle="1" w:styleId="TableTextChar">
    <w:name w:val="Table Text Char"/>
    <w:link w:val="TableText"/>
    <w:rsid w:val="00573396"/>
    <w:rPr>
      <w:rFonts w:ascii="Arial" w:eastAsiaTheme="majorEastAsia" w:hAnsi="Arial" w:cs="Arial"/>
      <w:sz w:val="20"/>
      <w:szCs w:val="20"/>
      <w:lang w:bidi="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locked/>
    <w:rsid w:val="00573396"/>
    <w:rPr>
      <w:rFonts w:ascii="Arial" w:hAnsi="Arial"/>
      <w:b/>
      <w:iCs/>
      <w:color w:val="000000" w:themeColor="text1"/>
      <w:szCs w:val="18"/>
    </w:rPr>
  </w:style>
  <w:style w:type="paragraph" w:styleId="NormalWeb">
    <w:name w:val="Normal (Web)"/>
    <w:basedOn w:val="Normal"/>
    <w:uiPriority w:val="99"/>
    <w:semiHidden/>
    <w:unhideWhenUsed/>
    <w:rsid w:val="007E5ABA"/>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12290"/>
    <w:rPr>
      <w:i/>
      <w:iCs/>
    </w:rPr>
  </w:style>
  <w:style w:type="character" w:customStyle="1" w:styleId="highlight1">
    <w:name w:val="highlight1"/>
    <w:basedOn w:val="DefaultParagraphFont"/>
    <w:rsid w:val="00012290"/>
    <w:rPr>
      <w:color w:val="000000"/>
      <w:shd w:val="clear" w:color="auto" w:fill="FF6600"/>
    </w:rPr>
  </w:style>
  <w:style w:type="paragraph" w:styleId="EndnoteText">
    <w:name w:val="endnote text"/>
    <w:basedOn w:val="Normal"/>
    <w:link w:val="EndnoteTextChar"/>
    <w:uiPriority w:val="99"/>
    <w:semiHidden/>
    <w:unhideWhenUsed/>
    <w:rsid w:val="0090621E"/>
    <w:pPr>
      <w:spacing w:before="0" w:after="0"/>
    </w:pPr>
    <w:rPr>
      <w:szCs w:val="20"/>
    </w:rPr>
  </w:style>
  <w:style w:type="character" w:customStyle="1" w:styleId="EndnoteTextChar">
    <w:name w:val="Endnote Text Char"/>
    <w:basedOn w:val="DefaultParagraphFont"/>
    <w:link w:val="EndnoteText"/>
    <w:uiPriority w:val="99"/>
    <w:semiHidden/>
    <w:rsid w:val="0090621E"/>
    <w:rPr>
      <w:sz w:val="20"/>
      <w:szCs w:val="20"/>
    </w:rPr>
  </w:style>
  <w:style w:type="character" w:styleId="EndnoteReference">
    <w:name w:val="endnote reference"/>
    <w:basedOn w:val="DefaultParagraphFont"/>
    <w:uiPriority w:val="99"/>
    <w:semiHidden/>
    <w:unhideWhenUsed/>
    <w:rsid w:val="0090621E"/>
    <w:rPr>
      <w:vertAlign w:val="superscript"/>
    </w:rPr>
  </w:style>
  <w:style w:type="paragraph" w:customStyle="1" w:styleId="EndNoteBibliography">
    <w:name w:val="EndNote Bibliography"/>
    <w:basedOn w:val="Normal"/>
    <w:link w:val="EndNoteBibliographyChar"/>
    <w:rsid w:val="0090621E"/>
    <w:pPr>
      <w:spacing w:before="0" w:after="200"/>
    </w:pPr>
    <w:rPr>
      <w:rFonts w:ascii="Arial" w:eastAsiaTheme="minorEastAsia" w:hAnsi="Arial" w:cs="Arial"/>
      <w:noProof/>
      <w:sz w:val="22"/>
      <w:lang w:val="en-GB" w:eastAsia="en-GB"/>
    </w:rPr>
  </w:style>
  <w:style w:type="character" w:customStyle="1" w:styleId="EndNoteBibliographyChar">
    <w:name w:val="EndNote Bibliography Char"/>
    <w:basedOn w:val="DefaultParagraphFont"/>
    <w:link w:val="EndNoteBibliography"/>
    <w:rsid w:val="0090621E"/>
    <w:rPr>
      <w:rFonts w:ascii="Arial" w:eastAsiaTheme="minorEastAsia" w:hAnsi="Arial" w:cs="Arial"/>
      <w:noProof/>
      <w:lang w:val="en-GB" w:eastAsia="en-GB"/>
    </w:rPr>
  </w:style>
  <w:style w:type="character" w:styleId="HTMLCite">
    <w:name w:val="HTML Cite"/>
    <w:basedOn w:val="DefaultParagraphFont"/>
    <w:uiPriority w:val="99"/>
    <w:semiHidden/>
    <w:unhideWhenUsed/>
    <w:rsid w:val="008A34A3"/>
    <w:rPr>
      <w:i/>
      <w:iCs/>
    </w:rPr>
  </w:style>
  <w:style w:type="character" w:customStyle="1" w:styleId="title-text">
    <w:name w:val="title-text"/>
    <w:basedOn w:val="DefaultParagraphFont"/>
    <w:rsid w:val="00E85C4E"/>
  </w:style>
  <w:style w:type="character" w:customStyle="1" w:styleId="labs-docsum-citation-part">
    <w:name w:val="labs-docsum-citation-part"/>
    <w:basedOn w:val="DefaultParagraphFont"/>
    <w:rsid w:val="00CD080E"/>
  </w:style>
  <w:style w:type="character" w:customStyle="1" w:styleId="jrnl">
    <w:name w:val="jrnl"/>
    <w:basedOn w:val="DefaultParagraphFont"/>
    <w:rsid w:val="005812C1"/>
  </w:style>
  <w:style w:type="character" w:customStyle="1" w:styleId="Mention">
    <w:name w:val="Mention"/>
    <w:basedOn w:val="DefaultParagraphFont"/>
    <w:uiPriority w:val="99"/>
    <w:semiHidden/>
    <w:unhideWhenUsed/>
    <w:rsid w:val="004073A5"/>
    <w:rPr>
      <w:color w:val="2B579A"/>
      <w:shd w:val="clear" w:color="auto" w:fill="E6E6E6"/>
    </w:rPr>
  </w:style>
  <w:style w:type="character" w:customStyle="1" w:styleId="hitinf">
    <w:name w:val="hit_inf"/>
    <w:basedOn w:val="DefaultParagraphFont"/>
    <w:rsid w:val="00434781"/>
  </w:style>
  <w:style w:type="character" w:customStyle="1" w:styleId="hitorg">
    <w:name w:val="hit_org"/>
    <w:basedOn w:val="DefaultParagraphFont"/>
    <w:rsid w:val="00434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paragraph" w:styleId="Heading4">
    <w:name w:val="heading 4"/>
    <w:basedOn w:val="Normal"/>
    <w:next w:val="Normal"/>
    <w:link w:val="Heading4Char"/>
    <w:uiPriority w:val="9"/>
    <w:semiHidden/>
    <w:unhideWhenUsed/>
    <w:qFormat/>
    <w:rsid w:val="005733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aliases w:val="-H18"/>
    <w:basedOn w:val="DefaultParagraphFont"/>
    <w:unhideWhenUsed/>
    <w:rsid w:val="005A6AB9"/>
    <w:rPr>
      <w:sz w:val="16"/>
      <w:szCs w:val="16"/>
    </w:rPr>
  </w:style>
  <w:style w:type="paragraph" w:styleId="CommentText">
    <w:name w:val="annotation text"/>
    <w:aliases w:val="- H19"/>
    <w:basedOn w:val="Normal"/>
    <w:link w:val="CommentTextChar"/>
    <w:unhideWhenUsed/>
    <w:rsid w:val="005A6AB9"/>
    <w:rPr>
      <w:szCs w:val="20"/>
    </w:rPr>
  </w:style>
  <w:style w:type="character" w:customStyle="1" w:styleId="CommentTextChar">
    <w:name w:val="Comment Text Char"/>
    <w:aliases w:val="- H19 Char"/>
    <w:basedOn w:val="DefaultParagraphFont"/>
    <w:link w:val="CommentText"/>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AACrossref">
    <w:name w:val="AA Cross ref"/>
    <w:basedOn w:val="Normal"/>
    <w:link w:val="AACrossrefChar"/>
    <w:qFormat/>
    <w:rsid w:val="00250A78"/>
    <w:pPr>
      <w:keepNext/>
      <w:keepLines/>
      <w:spacing w:before="100" w:beforeAutospacing="1" w:after="100" w:afterAutospacing="1"/>
    </w:pPr>
    <w:rPr>
      <w:rFonts w:ascii="Arial" w:eastAsiaTheme="minorEastAsia" w:hAnsi="Arial"/>
      <w:b/>
      <w:color w:val="0000FF"/>
      <w:u w:val="single"/>
      <w:lang w:val="en-GB" w:eastAsia="en-GB"/>
    </w:rPr>
  </w:style>
  <w:style w:type="character" w:customStyle="1" w:styleId="AACrossrefChar">
    <w:name w:val="AA Cross ref Char"/>
    <w:basedOn w:val="DefaultParagraphFont"/>
    <w:link w:val="AACrossref"/>
    <w:rsid w:val="00250A78"/>
    <w:rPr>
      <w:rFonts w:ascii="Arial" w:eastAsiaTheme="minorEastAsia" w:hAnsi="Arial"/>
      <w:b/>
      <w:color w:val="0000FF"/>
      <w:sz w:val="20"/>
      <w:u w:val="single"/>
      <w:lang w:val="en-GB" w:eastAsia="en-GB"/>
    </w:rPr>
  </w:style>
  <w:style w:type="character" w:customStyle="1" w:styleId="highlight">
    <w:name w:val="highlight"/>
    <w:basedOn w:val="DefaultParagraphFont"/>
    <w:rsid w:val="00250A78"/>
  </w:style>
  <w:style w:type="character" w:customStyle="1" w:styleId="apple-converted-space">
    <w:name w:val="apple-converted-space"/>
    <w:basedOn w:val="DefaultParagraphFont"/>
    <w:rsid w:val="00250A78"/>
  </w:style>
  <w:style w:type="paragraph" w:styleId="FootnoteText">
    <w:name w:val="footnote text"/>
    <w:basedOn w:val="Normal"/>
    <w:link w:val="FootnoteTextChar"/>
    <w:semiHidden/>
    <w:rsid w:val="00EE37BA"/>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semiHidden/>
    <w:rsid w:val="00EE37B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E37BA"/>
    <w:rPr>
      <w:vertAlign w:val="superscript"/>
    </w:rPr>
  </w:style>
  <w:style w:type="character" w:customStyle="1" w:styleId="Heading4Char">
    <w:name w:val="Heading 4 Char"/>
    <w:basedOn w:val="DefaultParagraphFont"/>
    <w:link w:val="Heading4"/>
    <w:uiPriority w:val="9"/>
    <w:semiHidden/>
    <w:rsid w:val="00573396"/>
    <w:rPr>
      <w:rFonts w:asciiTheme="majorHAnsi" w:eastAsiaTheme="majorEastAsia" w:hAnsiTheme="majorHAnsi" w:cstheme="majorBidi"/>
      <w:i/>
      <w:iCs/>
      <w:color w:val="365F91" w:themeColor="accent1" w:themeShade="BF"/>
      <w:sz w:val="20"/>
    </w:rPr>
  </w:style>
  <w:style w:type="paragraph" w:customStyle="1" w:styleId="TableText">
    <w:name w:val="Table Text"/>
    <w:basedOn w:val="Normal"/>
    <w:link w:val="TableTextChar"/>
    <w:qFormat/>
    <w:rsid w:val="00573396"/>
    <w:pPr>
      <w:spacing w:before="20" w:after="20" w:line="276" w:lineRule="auto"/>
    </w:pPr>
    <w:rPr>
      <w:rFonts w:ascii="Arial" w:eastAsiaTheme="majorEastAsia" w:hAnsi="Arial" w:cs="Arial"/>
      <w:szCs w:val="20"/>
      <w:lang w:bidi="en-US"/>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573396"/>
    <w:pPr>
      <w:spacing w:before="0" w:after="200"/>
      <w:jc w:val="both"/>
    </w:pPr>
    <w:rPr>
      <w:rFonts w:ascii="Arial" w:hAnsi="Arial"/>
      <w:b/>
      <w:iCs/>
      <w:color w:val="000000" w:themeColor="text1"/>
      <w:sz w:val="22"/>
      <w:szCs w:val="18"/>
    </w:rPr>
  </w:style>
  <w:style w:type="paragraph" w:customStyle="1" w:styleId="Sources">
    <w:name w:val="Sources"/>
    <w:basedOn w:val="Normal"/>
    <w:qFormat/>
    <w:rsid w:val="00573396"/>
    <w:pPr>
      <w:jc w:val="both"/>
    </w:pPr>
    <w:rPr>
      <w:rFonts w:ascii="Arial" w:hAnsi="Arial"/>
      <w:sz w:val="16"/>
    </w:rPr>
  </w:style>
  <w:style w:type="character" w:customStyle="1" w:styleId="TableTextChar">
    <w:name w:val="Table Text Char"/>
    <w:link w:val="TableText"/>
    <w:rsid w:val="00573396"/>
    <w:rPr>
      <w:rFonts w:ascii="Arial" w:eastAsiaTheme="majorEastAsia" w:hAnsi="Arial" w:cs="Arial"/>
      <w:sz w:val="20"/>
      <w:szCs w:val="20"/>
      <w:lang w:bidi="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locked/>
    <w:rsid w:val="00573396"/>
    <w:rPr>
      <w:rFonts w:ascii="Arial" w:hAnsi="Arial"/>
      <w:b/>
      <w:iCs/>
      <w:color w:val="000000" w:themeColor="text1"/>
      <w:szCs w:val="18"/>
    </w:rPr>
  </w:style>
  <w:style w:type="paragraph" w:styleId="NormalWeb">
    <w:name w:val="Normal (Web)"/>
    <w:basedOn w:val="Normal"/>
    <w:uiPriority w:val="99"/>
    <w:semiHidden/>
    <w:unhideWhenUsed/>
    <w:rsid w:val="007E5ABA"/>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12290"/>
    <w:rPr>
      <w:i/>
      <w:iCs/>
    </w:rPr>
  </w:style>
  <w:style w:type="character" w:customStyle="1" w:styleId="highlight1">
    <w:name w:val="highlight1"/>
    <w:basedOn w:val="DefaultParagraphFont"/>
    <w:rsid w:val="00012290"/>
    <w:rPr>
      <w:color w:val="000000"/>
      <w:shd w:val="clear" w:color="auto" w:fill="FF6600"/>
    </w:rPr>
  </w:style>
  <w:style w:type="paragraph" w:styleId="EndnoteText">
    <w:name w:val="endnote text"/>
    <w:basedOn w:val="Normal"/>
    <w:link w:val="EndnoteTextChar"/>
    <w:uiPriority w:val="99"/>
    <w:semiHidden/>
    <w:unhideWhenUsed/>
    <w:rsid w:val="0090621E"/>
    <w:pPr>
      <w:spacing w:before="0" w:after="0"/>
    </w:pPr>
    <w:rPr>
      <w:szCs w:val="20"/>
    </w:rPr>
  </w:style>
  <w:style w:type="character" w:customStyle="1" w:styleId="EndnoteTextChar">
    <w:name w:val="Endnote Text Char"/>
    <w:basedOn w:val="DefaultParagraphFont"/>
    <w:link w:val="EndnoteText"/>
    <w:uiPriority w:val="99"/>
    <w:semiHidden/>
    <w:rsid w:val="0090621E"/>
    <w:rPr>
      <w:sz w:val="20"/>
      <w:szCs w:val="20"/>
    </w:rPr>
  </w:style>
  <w:style w:type="character" w:styleId="EndnoteReference">
    <w:name w:val="endnote reference"/>
    <w:basedOn w:val="DefaultParagraphFont"/>
    <w:uiPriority w:val="99"/>
    <w:semiHidden/>
    <w:unhideWhenUsed/>
    <w:rsid w:val="0090621E"/>
    <w:rPr>
      <w:vertAlign w:val="superscript"/>
    </w:rPr>
  </w:style>
  <w:style w:type="paragraph" w:customStyle="1" w:styleId="EndNoteBibliography">
    <w:name w:val="EndNote Bibliography"/>
    <w:basedOn w:val="Normal"/>
    <w:link w:val="EndNoteBibliographyChar"/>
    <w:rsid w:val="0090621E"/>
    <w:pPr>
      <w:spacing w:before="0" w:after="200"/>
    </w:pPr>
    <w:rPr>
      <w:rFonts w:ascii="Arial" w:eastAsiaTheme="minorEastAsia" w:hAnsi="Arial" w:cs="Arial"/>
      <w:noProof/>
      <w:sz w:val="22"/>
      <w:lang w:val="en-GB" w:eastAsia="en-GB"/>
    </w:rPr>
  </w:style>
  <w:style w:type="character" w:customStyle="1" w:styleId="EndNoteBibliographyChar">
    <w:name w:val="EndNote Bibliography Char"/>
    <w:basedOn w:val="DefaultParagraphFont"/>
    <w:link w:val="EndNoteBibliography"/>
    <w:rsid w:val="0090621E"/>
    <w:rPr>
      <w:rFonts w:ascii="Arial" w:eastAsiaTheme="minorEastAsia" w:hAnsi="Arial" w:cs="Arial"/>
      <w:noProof/>
      <w:lang w:val="en-GB" w:eastAsia="en-GB"/>
    </w:rPr>
  </w:style>
  <w:style w:type="character" w:styleId="HTMLCite">
    <w:name w:val="HTML Cite"/>
    <w:basedOn w:val="DefaultParagraphFont"/>
    <w:uiPriority w:val="99"/>
    <w:semiHidden/>
    <w:unhideWhenUsed/>
    <w:rsid w:val="008A34A3"/>
    <w:rPr>
      <w:i/>
      <w:iCs/>
    </w:rPr>
  </w:style>
  <w:style w:type="character" w:customStyle="1" w:styleId="title-text">
    <w:name w:val="title-text"/>
    <w:basedOn w:val="DefaultParagraphFont"/>
    <w:rsid w:val="00E85C4E"/>
  </w:style>
  <w:style w:type="character" w:customStyle="1" w:styleId="labs-docsum-citation-part">
    <w:name w:val="labs-docsum-citation-part"/>
    <w:basedOn w:val="DefaultParagraphFont"/>
    <w:rsid w:val="00CD080E"/>
  </w:style>
  <w:style w:type="character" w:customStyle="1" w:styleId="jrnl">
    <w:name w:val="jrnl"/>
    <w:basedOn w:val="DefaultParagraphFont"/>
    <w:rsid w:val="005812C1"/>
  </w:style>
  <w:style w:type="character" w:customStyle="1" w:styleId="Mention">
    <w:name w:val="Mention"/>
    <w:basedOn w:val="DefaultParagraphFont"/>
    <w:uiPriority w:val="99"/>
    <w:semiHidden/>
    <w:unhideWhenUsed/>
    <w:rsid w:val="004073A5"/>
    <w:rPr>
      <w:color w:val="2B579A"/>
      <w:shd w:val="clear" w:color="auto" w:fill="E6E6E6"/>
    </w:rPr>
  </w:style>
  <w:style w:type="character" w:customStyle="1" w:styleId="hitinf">
    <w:name w:val="hit_inf"/>
    <w:basedOn w:val="DefaultParagraphFont"/>
    <w:rsid w:val="00434781"/>
  </w:style>
  <w:style w:type="character" w:customStyle="1" w:styleId="hitorg">
    <w:name w:val="hit_org"/>
    <w:basedOn w:val="DefaultParagraphFont"/>
    <w:rsid w:val="0043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194">
      <w:bodyDiv w:val="1"/>
      <w:marLeft w:val="0"/>
      <w:marRight w:val="0"/>
      <w:marTop w:val="0"/>
      <w:marBottom w:val="0"/>
      <w:divBdr>
        <w:top w:val="none" w:sz="0" w:space="0" w:color="auto"/>
        <w:left w:val="none" w:sz="0" w:space="0" w:color="auto"/>
        <w:bottom w:val="none" w:sz="0" w:space="0" w:color="auto"/>
        <w:right w:val="none" w:sz="0" w:space="0" w:color="auto"/>
      </w:divBdr>
    </w:div>
    <w:div w:id="187261618">
      <w:bodyDiv w:val="1"/>
      <w:marLeft w:val="0"/>
      <w:marRight w:val="0"/>
      <w:marTop w:val="0"/>
      <w:marBottom w:val="0"/>
      <w:divBdr>
        <w:top w:val="none" w:sz="0" w:space="0" w:color="auto"/>
        <w:left w:val="none" w:sz="0" w:space="0" w:color="auto"/>
        <w:bottom w:val="none" w:sz="0" w:space="0" w:color="auto"/>
        <w:right w:val="none" w:sz="0" w:space="0" w:color="auto"/>
      </w:divBdr>
    </w:div>
    <w:div w:id="208883167">
      <w:bodyDiv w:val="1"/>
      <w:marLeft w:val="0"/>
      <w:marRight w:val="0"/>
      <w:marTop w:val="0"/>
      <w:marBottom w:val="0"/>
      <w:divBdr>
        <w:top w:val="none" w:sz="0" w:space="0" w:color="auto"/>
        <w:left w:val="none" w:sz="0" w:space="0" w:color="auto"/>
        <w:bottom w:val="none" w:sz="0" w:space="0" w:color="auto"/>
        <w:right w:val="none" w:sz="0" w:space="0" w:color="auto"/>
      </w:divBdr>
    </w:div>
    <w:div w:id="210770769">
      <w:bodyDiv w:val="1"/>
      <w:marLeft w:val="0"/>
      <w:marRight w:val="0"/>
      <w:marTop w:val="0"/>
      <w:marBottom w:val="0"/>
      <w:divBdr>
        <w:top w:val="none" w:sz="0" w:space="0" w:color="auto"/>
        <w:left w:val="none" w:sz="0" w:space="0" w:color="auto"/>
        <w:bottom w:val="none" w:sz="0" w:space="0" w:color="auto"/>
        <w:right w:val="none" w:sz="0" w:space="0" w:color="auto"/>
      </w:divBdr>
      <w:divsChild>
        <w:div w:id="988560987">
          <w:marLeft w:val="0"/>
          <w:marRight w:val="0"/>
          <w:marTop w:val="0"/>
          <w:marBottom w:val="0"/>
          <w:divBdr>
            <w:top w:val="none" w:sz="0" w:space="0" w:color="auto"/>
            <w:left w:val="none" w:sz="0" w:space="0" w:color="auto"/>
            <w:bottom w:val="none" w:sz="0" w:space="0" w:color="auto"/>
            <w:right w:val="none" w:sz="0" w:space="0" w:color="auto"/>
          </w:divBdr>
          <w:divsChild>
            <w:div w:id="1362631769">
              <w:marLeft w:val="0"/>
              <w:marRight w:val="0"/>
              <w:marTop w:val="0"/>
              <w:marBottom w:val="0"/>
              <w:divBdr>
                <w:top w:val="none" w:sz="0" w:space="0" w:color="auto"/>
                <w:left w:val="none" w:sz="0" w:space="0" w:color="auto"/>
                <w:bottom w:val="none" w:sz="0" w:space="0" w:color="auto"/>
                <w:right w:val="none" w:sz="0" w:space="0" w:color="auto"/>
              </w:divBdr>
            </w:div>
            <w:div w:id="452943119">
              <w:marLeft w:val="439"/>
              <w:marRight w:val="0"/>
              <w:marTop w:val="0"/>
              <w:marBottom w:val="0"/>
              <w:divBdr>
                <w:top w:val="none" w:sz="0" w:space="0" w:color="auto"/>
                <w:left w:val="none" w:sz="0" w:space="0" w:color="auto"/>
                <w:bottom w:val="none" w:sz="0" w:space="0" w:color="auto"/>
                <w:right w:val="none" w:sz="0" w:space="0" w:color="auto"/>
              </w:divBdr>
              <w:divsChild>
                <w:div w:id="1136223627">
                  <w:marLeft w:val="0"/>
                  <w:marRight w:val="0"/>
                  <w:marTop w:val="0"/>
                  <w:marBottom w:val="0"/>
                  <w:divBdr>
                    <w:top w:val="none" w:sz="0" w:space="0" w:color="auto"/>
                    <w:left w:val="none" w:sz="0" w:space="0" w:color="auto"/>
                    <w:bottom w:val="none" w:sz="0" w:space="0" w:color="auto"/>
                    <w:right w:val="none" w:sz="0" w:space="0" w:color="auto"/>
                  </w:divBdr>
                  <w:divsChild>
                    <w:div w:id="358746508">
                      <w:marLeft w:val="0"/>
                      <w:marRight w:val="0"/>
                      <w:marTop w:val="0"/>
                      <w:marBottom w:val="0"/>
                      <w:divBdr>
                        <w:top w:val="none" w:sz="0" w:space="0" w:color="auto"/>
                        <w:left w:val="none" w:sz="0" w:space="0" w:color="auto"/>
                        <w:bottom w:val="none" w:sz="0" w:space="0" w:color="auto"/>
                        <w:right w:val="none" w:sz="0" w:space="0" w:color="auto"/>
                      </w:divBdr>
                    </w:div>
                    <w:div w:id="111097004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681">
          <w:marLeft w:val="0"/>
          <w:marRight w:val="0"/>
          <w:marTop w:val="0"/>
          <w:marBottom w:val="0"/>
          <w:divBdr>
            <w:top w:val="none" w:sz="0" w:space="0" w:color="auto"/>
            <w:left w:val="none" w:sz="0" w:space="0" w:color="auto"/>
            <w:bottom w:val="none" w:sz="0" w:space="0" w:color="auto"/>
            <w:right w:val="none" w:sz="0" w:space="0" w:color="auto"/>
          </w:divBdr>
        </w:div>
      </w:divsChild>
    </w:div>
    <w:div w:id="25363026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55355721">
      <w:bodyDiv w:val="1"/>
      <w:marLeft w:val="0"/>
      <w:marRight w:val="0"/>
      <w:marTop w:val="0"/>
      <w:marBottom w:val="0"/>
      <w:divBdr>
        <w:top w:val="none" w:sz="0" w:space="0" w:color="auto"/>
        <w:left w:val="none" w:sz="0" w:space="0" w:color="auto"/>
        <w:bottom w:val="none" w:sz="0" w:space="0" w:color="auto"/>
        <w:right w:val="none" w:sz="0" w:space="0" w:color="auto"/>
      </w:divBdr>
    </w:div>
    <w:div w:id="553198803">
      <w:bodyDiv w:val="1"/>
      <w:marLeft w:val="0"/>
      <w:marRight w:val="0"/>
      <w:marTop w:val="0"/>
      <w:marBottom w:val="0"/>
      <w:divBdr>
        <w:top w:val="none" w:sz="0" w:space="0" w:color="auto"/>
        <w:left w:val="none" w:sz="0" w:space="0" w:color="auto"/>
        <w:bottom w:val="none" w:sz="0" w:space="0" w:color="auto"/>
        <w:right w:val="none" w:sz="0" w:space="0" w:color="auto"/>
      </w:divBdr>
    </w:div>
    <w:div w:id="572742662">
      <w:bodyDiv w:val="1"/>
      <w:marLeft w:val="0"/>
      <w:marRight w:val="0"/>
      <w:marTop w:val="0"/>
      <w:marBottom w:val="0"/>
      <w:divBdr>
        <w:top w:val="none" w:sz="0" w:space="0" w:color="auto"/>
        <w:left w:val="none" w:sz="0" w:space="0" w:color="auto"/>
        <w:bottom w:val="none" w:sz="0" w:space="0" w:color="auto"/>
        <w:right w:val="none" w:sz="0" w:space="0" w:color="auto"/>
      </w:divBdr>
      <w:divsChild>
        <w:div w:id="220335833">
          <w:marLeft w:val="288"/>
          <w:marRight w:val="0"/>
          <w:marTop w:val="0"/>
          <w:marBottom w:val="0"/>
          <w:divBdr>
            <w:top w:val="none" w:sz="0" w:space="0" w:color="auto"/>
            <w:left w:val="none" w:sz="0" w:space="0" w:color="auto"/>
            <w:bottom w:val="none" w:sz="0" w:space="0" w:color="auto"/>
            <w:right w:val="none" w:sz="0" w:space="0" w:color="auto"/>
          </w:divBdr>
        </w:div>
      </w:divsChild>
    </w:div>
    <w:div w:id="587271513">
      <w:bodyDiv w:val="1"/>
      <w:marLeft w:val="0"/>
      <w:marRight w:val="0"/>
      <w:marTop w:val="0"/>
      <w:marBottom w:val="0"/>
      <w:divBdr>
        <w:top w:val="none" w:sz="0" w:space="0" w:color="auto"/>
        <w:left w:val="none" w:sz="0" w:space="0" w:color="auto"/>
        <w:bottom w:val="none" w:sz="0" w:space="0" w:color="auto"/>
        <w:right w:val="none" w:sz="0" w:space="0" w:color="auto"/>
      </w:divBdr>
    </w:div>
    <w:div w:id="684794717">
      <w:bodyDiv w:val="1"/>
      <w:marLeft w:val="0"/>
      <w:marRight w:val="0"/>
      <w:marTop w:val="0"/>
      <w:marBottom w:val="0"/>
      <w:divBdr>
        <w:top w:val="none" w:sz="0" w:space="0" w:color="auto"/>
        <w:left w:val="none" w:sz="0" w:space="0" w:color="auto"/>
        <w:bottom w:val="none" w:sz="0" w:space="0" w:color="auto"/>
        <w:right w:val="none" w:sz="0" w:space="0" w:color="auto"/>
      </w:divBdr>
      <w:divsChild>
        <w:div w:id="172228832">
          <w:marLeft w:val="0"/>
          <w:marRight w:val="0"/>
          <w:marTop w:val="0"/>
          <w:marBottom w:val="0"/>
          <w:divBdr>
            <w:top w:val="none" w:sz="0" w:space="0" w:color="auto"/>
            <w:left w:val="none" w:sz="0" w:space="0" w:color="auto"/>
            <w:bottom w:val="none" w:sz="0" w:space="0" w:color="auto"/>
            <w:right w:val="none" w:sz="0" w:space="0" w:color="auto"/>
          </w:divBdr>
          <w:divsChild>
            <w:div w:id="1857814608">
              <w:marLeft w:val="0"/>
              <w:marRight w:val="0"/>
              <w:marTop w:val="900"/>
              <w:marBottom w:val="0"/>
              <w:divBdr>
                <w:top w:val="none" w:sz="0" w:space="0" w:color="auto"/>
                <w:left w:val="none" w:sz="0" w:space="0" w:color="auto"/>
                <w:bottom w:val="none" w:sz="0" w:space="0" w:color="auto"/>
                <w:right w:val="none" w:sz="0" w:space="0" w:color="auto"/>
              </w:divBdr>
              <w:divsChild>
                <w:div w:id="27225599">
                  <w:marLeft w:val="0"/>
                  <w:marRight w:val="0"/>
                  <w:marTop w:val="0"/>
                  <w:marBottom w:val="0"/>
                  <w:divBdr>
                    <w:top w:val="none" w:sz="0" w:space="0" w:color="auto"/>
                    <w:left w:val="none" w:sz="0" w:space="0" w:color="auto"/>
                    <w:bottom w:val="none" w:sz="0" w:space="0" w:color="auto"/>
                    <w:right w:val="none" w:sz="0" w:space="0" w:color="auto"/>
                  </w:divBdr>
                  <w:divsChild>
                    <w:div w:id="1301114844">
                      <w:marLeft w:val="0"/>
                      <w:marRight w:val="0"/>
                      <w:marTop w:val="0"/>
                      <w:marBottom w:val="0"/>
                      <w:divBdr>
                        <w:top w:val="none" w:sz="0" w:space="0" w:color="auto"/>
                        <w:left w:val="none" w:sz="0" w:space="0" w:color="auto"/>
                        <w:bottom w:val="none" w:sz="0" w:space="0" w:color="auto"/>
                        <w:right w:val="none" w:sz="0" w:space="0" w:color="auto"/>
                      </w:divBdr>
                      <w:divsChild>
                        <w:div w:id="1046754520">
                          <w:marLeft w:val="0"/>
                          <w:marRight w:val="0"/>
                          <w:marTop w:val="0"/>
                          <w:marBottom w:val="0"/>
                          <w:divBdr>
                            <w:top w:val="none" w:sz="0" w:space="0" w:color="auto"/>
                            <w:left w:val="none" w:sz="0" w:space="0" w:color="auto"/>
                            <w:bottom w:val="none" w:sz="0" w:space="0" w:color="auto"/>
                            <w:right w:val="none" w:sz="0" w:space="0" w:color="auto"/>
                          </w:divBdr>
                          <w:divsChild>
                            <w:div w:id="919291447">
                              <w:marLeft w:val="0"/>
                              <w:marRight w:val="0"/>
                              <w:marTop w:val="0"/>
                              <w:marBottom w:val="0"/>
                              <w:divBdr>
                                <w:top w:val="none" w:sz="0" w:space="0" w:color="auto"/>
                                <w:left w:val="none" w:sz="0" w:space="0" w:color="auto"/>
                                <w:bottom w:val="none" w:sz="0" w:space="0" w:color="auto"/>
                                <w:right w:val="none" w:sz="0" w:space="0" w:color="auto"/>
                              </w:divBdr>
                              <w:divsChild>
                                <w:div w:id="997657859">
                                  <w:marLeft w:val="0"/>
                                  <w:marRight w:val="0"/>
                                  <w:marTop w:val="0"/>
                                  <w:marBottom w:val="0"/>
                                  <w:divBdr>
                                    <w:top w:val="none" w:sz="0" w:space="0" w:color="auto"/>
                                    <w:left w:val="none" w:sz="0" w:space="0" w:color="auto"/>
                                    <w:bottom w:val="none" w:sz="0" w:space="0" w:color="auto"/>
                                    <w:right w:val="none" w:sz="0" w:space="0" w:color="auto"/>
                                  </w:divBdr>
                                  <w:divsChild>
                                    <w:div w:id="1639342298">
                                      <w:marLeft w:val="0"/>
                                      <w:marRight w:val="0"/>
                                      <w:marTop w:val="0"/>
                                      <w:marBottom w:val="0"/>
                                      <w:divBdr>
                                        <w:top w:val="none" w:sz="0" w:space="0" w:color="auto"/>
                                        <w:left w:val="none" w:sz="0" w:space="0" w:color="auto"/>
                                        <w:bottom w:val="none" w:sz="0" w:space="0" w:color="auto"/>
                                        <w:right w:val="none" w:sz="0" w:space="0" w:color="auto"/>
                                      </w:divBdr>
                                      <w:divsChild>
                                        <w:div w:id="1313102370">
                                          <w:marLeft w:val="0"/>
                                          <w:marRight w:val="0"/>
                                          <w:marTop w:val="15"/>
                                          <w:marBottom w:val="0"/>
                                          <w:divBdr>
                                            <w:top w:val="none" w:sz="0" w:space="0" w:color="auto"/>
                                            <w:left w:val="none" w:sz="0" w:space="0" w:color="auto"/>
                                            <w:bottom w:val="none" w:sz="0" w:space="0" w:color="auto"/>
                                            <w:right w:val="none" w:sz="0" w:space="0" w:color="auto"/>
                                          </w:divBdr>
                                          <w:divsChild>
                                            <w:div w:id="1788311946">
                                              <w:marLeft w:val="0"/>
                                              <w:marRight w:val="0"/>
                                              <w:marTop w:val="0"/>
                                              <w:marBottom w:val="0"/>
                                              <w:divBdr>
                                                <w:top w:val="none" w:sz="0" w:space="0" w:color="auto"/>
                                                <w:left w:val="none" w:sz="0" w:space="0" w:color="auto"/>
                                                <w:bottom w:val="none" w:sz="0" w:space="0" w:color="auto"/>
                                                <w:right w:val="none" w:sz="0" w:space="0" w:color="auto"/>
                                              </w:divBdr>
                                              <w:divsChild>
                                                <w:div w:id="1497265857">
                                                  <w:marLeft w:val="0"/>
                                                  <w:marRight w:val="0"/>
                                                  <w:marTop w:val="0"/>
                                                  <w:marBottom w:val="0"/>
                                                  <w:divBdr>
                                                    <w:top w:val="none" w:sz="0" w:space="0" w:color="auto"/>
                                                    <w:left w:val="none" w:sz="0" w:space="0" w:color="auto"/>
                                                    <w:bottom w:val="none" w:sz="0" w:space="0" w:color="auto"/>
                                                    <w:right w:val="none" w:sz="0" w:space="0" w:color="auto"/>
                                                  </w:divBdr>
                                                </w:div>
                                                <w:div w:id="102261901">
                                                  <w:marLeft w:val="0"/>
                                                  <w:marRight w:val="0"/>
                                                  <w:marTop w:val="0"/>
                                                  <w:marBottom w:val="0"/>
                                                  <w:divBdr>
                                                    <w:top w:val="none" w:sz="0" w:space="0" w:color="auto"/>
                                                    <w:left w:val="none" w:sz="0" w:space="0" w:color="auto"/>
                                                    <w:bottom w:val="none" w:sz="0" w:space="0" w:color="auto"/>
                                                    <w:right w:val="none" w:sz="0" w:space="0" w:color="auto"/>
                                                  </w:divBdr>
                                                </w:div>
                                                <w:div w:id="335769674">
                                                  <w:marLeft w:val="0"/>
                                                  <w:marRight w:val="0"/>
                                                  <w:marTop w:val="0"/>
                                                  <w:marBottom w:val="0"/>
                                                  <w:divBdr>
                                                    <w:top w:val="none" w:sz="0" w:space="0" w:color="auto"/>
                                                    <w:left w:val="none" w:sz="0" w:space="0" w:color="auto"/>
                                                    <w:bottom w:val="none" w:sz="0" w:space="0" w:color="auto"/>
                                                    <w:right w:val="none" w:sz="0" w:space="0" w:color="auto"/>
                                                  </w:divBdr>
                                                </w:div>
                                                <w:div w:id="18707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368407">
      <w:bodyDiv w:val="1"/>
      <w:marLeft w:val="0"/>
      <w:marRight w:val="0"/>
      <w:marTop w:val="0"/>
      <w:marBottom w:val="0"/>
      <w:divBdr>
        <w:top w:val="none" w:sz="0" w:space="0" w:color="auto"/>
        <w:left w:val="none" w:sz="0" w:space="0" w:color="auto"/>
        <w:bottom w:val="none" w:sz="0" w:space="0" w:color="auto"/>
        <w:right w:val="none" w:sz="0" w:space="0" w:color="auto"/>
      </w:divBdr>
      <w:divsChild>
        <w:div w:id="1371683842">
          <w:marLeft w:val="274"/>
          <w:marRight w:val="0"/>
          <w:marTop w:val="60"/>
          <w:marBottom w:val="60"/>
          <w:divBdr>
            <w:top w:val="none" w:sz="0" w:space="0" w:color="auto"/>
            <w:left w:val="none" w:sz="0" w:space="0" w:color="auto"/>
            <w:bottom w:val="none" w:sz="0" w:space="0" w:color="auto"/>
            <w:right w:val="none" w:sz="0" w:space="0" w:color="auto"/>
          </w:divBdr>
        </w:div>
      </w:divsChild>
    </w:div>
    <w:div w:id="946473954">
      <w:bodyDiv w:val="1"/>
      <w:marLeft w:val="0"/>
      <w:marRight w:val="0"/>
      <w:marTop w:val="0"/>
      <w:marBottom w:val="0"/>
      <w:divBdr>
        <w:top w:val="none" w:sz="0" w:space="0" w:color="auto"/>
        <w:left w:val="none" w:sz="0" w:space="0" w:color="auto"/>
        <w:bottom w:val="none" w:sz="0" w:space="0" w:color="auto"/>
        <w:right w:val="none" w:sz="0" w:space="0" w:color="auto"/>
      </w:divBdr>
      <w:divsChild>
        <w:div w:id="677849502">
          <w:marLeft w:val="274"/>
          <w:marRight w:val="0"/>
          <w:marTop w:val="60"/>
          <w:marBottom w:val="60"/>
          <w:divBdr>
            <w:top w:val="none" w:sz="0" w:space="0" w:color="auto"/>
            <w:left w:val="none" w:sz="0" w:space="0" w:color="auto"/>
            <w:bottom w:val="none" w:sz="0" w:space="0" w:color="auto"/>
            <w:right w:val="none" w:sz="0" w:space="0" w:color="auto"/>
          </w:divBdr>
        </w:div>
      </w:divsChild>
    </w:div>
    <w:div w:id="957763746">
      <w:bodyDiv w:val="1"/>
      <w:marLeft w:val="0"/>
      <w:marRight w:val="0"/>
      <w:marTop w:val="0"/>
      <w:marBottom w:val="0"/>
      <w:divBdr>
        <w:top w:val="none" w:sz="0" w:space="0" w:color="auto"/>
        <w:left w:val="none" w:sz="0" w:space="0" w:color="auto"/>
        <w:bottom w:val="none" w:sz="0" w:space="0" w:color="auto"/>
        <w:right w:val="none" w:sz="0" w:space="0" w:color="auto"/>
      </w:divBdr>
      <w:divsChild>
        <w:div w:id="994606168">
          <w:marLeft w:val="360"/>
          <w:marRight w:val="0"/>
          <w:marTop w:val="0"/>
          <w:marBottom w:val="0"/>
          <w:divBdr>
            <w:top w:val="none" w:sz="0" w:space="0" w:color="auto"/>
            <w:left w:val="none" w:sz="0" w:space="0" w:color="auto"/>
            <w:bottom w:val="none" w:sz="0" w:space="0" w:color="auto"/>
            <w:right w:val="none" w:sz="0" w:space="0" w:color="auto"/>
          </w:divBdr>
        </w:div>
        <w:div w:id="561330313">
          <w:marLeft w:val="360"/>
          <w:marRight w:val="0"/>
          <w:marTop w:val="0"/>
          <w:marBottom w:val="0"/>
          <w:divBdr>
            <w:top w:val="none" w:sz="0" w:space="0" w:color="auto"/>
            <w:left w:val="none" w:sz="0" w:space="0" w:color="auto"/>
            <w:bottom w:val="none" w:sz="0" w:space="0" w:color="auto"/>
            <w:right w:val="none" w:sz="0" w:space="0" w:color="auto"/>
          </w:divBdr>
        </w:div>
        <w:div w:id="1789616310">
          <w:marLeft w:val="360"/>
          <w:marRight w:val="0"/>
          <w:marTop w:val="0"/>
          <w:marBottom w:val="0"/>
          <w:divBdr>
            <w:top w:val="none" w:sz="0" w:space="0" w:color="auto"/>
            <w:left w:val="none" w:sz="0" w:space="0" w:color="auto"/>
            <w:bottom w:val="none" w:sz="0" w:space="0" w:color="auto"/>
            <w:right w:val="none" w:sz="0" w:space="0" w:color="auto"/>
          </w:divBdr>
        </w:div>
      </w:divsChild>
    </w:div>
    <w:div w:id="1000693146">
      <w:bodyDiv w:val="1"/>
      <w:marLeft w:val="0"/>
      <w:marRight w:val="0"/>
      <w:marTop w:val="0"/>
      <w:marBottom w:val="0"/>
      <w:divBdr>
        <w:top w:val="none" w:sz="0" w:space="0" w:color="auto"/>
        <w:left w:val="none" w:sz="0" w:space="0" w:color="auto"/>
        <w:bottom w:val="none" w:sz="0" w:space="0" w:color="auto"/>
        <w:right w:val="none" w:sz="0" w:space="0" w:color="auto"/>
      </w:divBdr>
      <w:divsChild>
        <w:div w:id="423964919">
          <w:marLeft w:val="130"/>
          <w:marRight w:val="0"/>
          <w:marTop w:val="60"/>
          <w:marBottom w:val="0"/>
          <w:divBdr>
            <w:top w:val="none" w:sz="0" w:space="0" w:color="auto"/>
            <w:left w:val="none" w:sz="0" w:space="0" w:color="auto"/>
            <w:bottom w:val="none" w:sz="0" w:space="0" w:color="auto"/>
            <w:right w:val="none" w:sz="0" w:space="0" w:color="auto"/>
          </w:divBdr>
        </w:div>
        <w:div w:id="120805718">
          <w:marLeft w:val="130"/>
          <w:marRight w:val="0"/>
          <w:marTop w:val="60"/>
          <w:marBottom w:val="0"/>
          <w:divBdr>
            <w:top w:val="none" w:sz="0" w:space="0" w:color="auto"/>
            <w:left w:val="none" w:sz="0" w:space="0" w:color="auto"/>
            <w:bottom w:val="none" w:sz="0" w:space="0" w:color="auto"/>
            <w:right w:val="none" w:sz="0" w:space="0" w:color="auto"/>
          </w:divBdr>
        </w:div>
        <w:div w:id="188446143">
          <w:marLeft w:val="130"/>
          <w:marRight w:val="0"/>
          <w:marTop w:val="60"/>
          <w:marBottom w:val="0"/>
          <w:divBdr>
            <w:top w:val="none" w:sz="0" w:space="0" w:color="auto"/>
            <w:left w:val="none" w:sz="0" w:space="0" w:color="auto"/>
            <w:bottom w:val="none" w:sz="0" w:space="0" w:color="auto"/>
            <w:right w:val="none" w:sz="0" w:space="0" w:color="auto"/>
          </w:divBdr>
        </w:div>
      </w:divsChild>
    </w:div>
    <w:div w:id="1134104917">
      <w:bodyDiv w:val="1"/>
      <w:marLeft w:val="0"/>
      <w:marRight w:val="0"/>
      <w:marTop w:val="0"/>
      <w:marBottom w:val="0"/>
      <w:divBdr>
        <w:top w:val="none" w:sz="0" w:space="0" w:color="auto"/>
        <w:left w:val="none" w:sz="0" w:space="0" w:color="auto"/>
        <w:bottom w:val="none" w:sz="0" w:space="0" w:color="auto"/>
        <w:right w:val="none" w:sz="0" w:space="0" w:color="auto"/>
      </w:divBdr>
    </w:div>
    <w:div w:id="1213925099">
      <w:bodyDiv w:val="1"/>
      <w:marLeft w:val="0"/>
      <w:marRight w:val="0"/>
      <w:marTop w:val="0"/>
      <w:marBottom w:val="0"/>
      <w:divBdr>
        <w:top w:val="none" w:sz="0" w:space="0" w:color="auto"/>
        <w:left w:val="none" w:sz="0" w:space="0" w:color="auto"/>
        <w:bottom w:val="none" w:sz="0" w:space="0" w:color="auto"/>
        <w:right w:val="none" w:sz="0" w:space="0" w:color="auto"/>
      </w:divBdr>
    </w:div>
    <w:div w:id="1248348906">
      <w:bodyDiv w:val="1"/>
      <w:marLeft w:val="0"/>
      <w:marRight w:val="0"/>
      <w:marTop w:val="0"/>
      <w:marBottom w:val="0"/>
      <w:divBdr>
        <w:top w:val="none" w:sz="0" w:space="0" w:color="auto"/>
        <w:left w:val="none" w:sz="0" w:space="0" w:color="auto"/>
        <w:bottom w:val="none" w:sz="0" w:space="0" w:color="auto"/>
        <w:right w:val="none" w:sz="0" w:space="0" w:color="auto"/>
      </w:divBdr>
    </w:div>
    <w:div w:id="1249656353">
      <w:bodyDiv w:val="1"/>
      <w:marLeft w:val="0"/>
      <w:marRight w:val="0"/>
      <w:marTop w:val="0"/>
      <w:marBottom w:val="0"/>
      <w:divBdr>
        <w:top w:val="none" w:sz="0" w:space="0" w:color="auto"/>
        <w:left w:val="none" w:sz="0" w:space="0" w:color="auto"/>
        <w:bottom w:val="none" w:sz="0" w:space="0" w:color="auto"/>
        <w:right w:val="none" w:sz="0" w:space="0" w:color="auto"/>
      </w:divBdr>
    </w:div>
    <w:div w:id="1339651440">
      <w:bodyDiv w:val="1"/>
      <w:marLeft w:val="0"/>
      <w:marRight w:val="0"/>
      <w:marTop w:val="0"/>
      <w:marBottom w:val="0"/>
      <w:divBdr>
        <w:top w:val="none" w:sz="0" w:space="0" w:color="auto"/>
        <w:left w:val="none" w:sz="0" w:space="0" w:color="auto"/>
        <w:bottom w:val="none" w:sz="0" w:space="0" w:color="auto"/>
        <w:right w:val="none" w:sz="0" w:space="0" w:color="auto"/>
      </w:divBdr>
      <w:divsChild>
        <w:div w:id="1424719199">
          <w:marLeft w:val="0"/>
          <w:marRight w:val="0"/>
          <w:marTop w:val="0"/>
          <w:marBottom w:val="0"/>
          <w:divBdr>
            <w:top w:val="none" w:sz="0" w:space="0" w:color="auto"/>
            <w:left w:val="none" w:sz="0" w:space="0" w:color="auto"/>
            <w:bottom w:val="none" w:sz="0" w:space="0" w:color="auto"/>
            <w:right w:val="none" w:sz="0" w:space="0" w:color="auto"/>
          </w:divBdr>
          <w:divsChild>
            <w:div w:id="889998463">
              <w:marLeft w:val="0"/>
              <w:marRight w:val="0"/>
              <w:marTop w:val="900"/>
              <w:marBottom w:val="0"/>
              <w:divBdr>
                <w:top w:val="none" w:sz="0" w:space="0" w:color="auto"/>
                <w:left w:val="none" w:sz="0" w:space="0" w:color="auto"/>
                <w:bottom w:val="none" w:sz="0" w:space="0" w:color="auto"/>
                <w:right w:val="none" w:sz="0" w:space="0" w:color="auto"/>
              </w:divBdr>
              <w:divsChild>
                <w:div w:id="1354455037">
                  <w:marLeft w:val="0"/>
                  <w:marRight w:val="0"/>
                  <w:marTop w:val="0"/>
                  <w:marBottom w:val="0"/>
                  <w:divBdr>
                    <w:top w:val="none" w:sz="0" w:space="0" w:color="auto"/>
                    <w:left w:val="none" w:sz="0" w:space="0" w:color="auto"/>
                    <w:bottom w:val="none" w:sz="0" w:space="0" w:color="auto"/>
                    <w:right w:val="none" w:sz="0" w:space="0" w:color="auto"/>
                  </w:divBdr>
                  <w:divsChild>
                    <w:div w:id="607126197">
                      <w:marLeft w:val="0"/>
                      <w:marRight w:val="0"/>
                      <w:marTop w:val="0"/>
                      <w:marBottom w:val="0"/>
                      <w:divBdr>
                        <w:top w:val="none" w:sz="0" w:space="0" w:color="auto"/>
                        <w:left w:val="none" w:sz="0" w:space="0" w:color="auto"/>
                        <w:bottom w:val="none" w:sz="0" w:space="0" w:color="auto"/>
                        <w:right w:val="none" w:sz="0" w:space="0" w:color="auto"/>
                      </w:divBdr>
                      <w:divsChild>
                        <w:div w:id="150950982">
                          <w:marLeft w:val="0"/>
                          <w:marRight w:val="0"/>
                          <w:marTop w:val="0"/>
                          <w:marBottom w:val="0"/>
                          <w:divBdr>
                            <w:top w:val="none" w:sz="0" w:space="0" w:color="auto"/>
                            <w:left w:val="none" w:sz="0" w:space="0" w:color="auto"/>
                            <w:bottom w:val="none" w:sz="0" w:space="0" w:color="auto"/>
                            <w:right w:val="none" w:sz="0" w:space="0" w:color="auto"/>
                          </w:divBdr>
                          <w:divsChild>
                            <w:div w:id="1072310692">
                              <w:marLeft w:val="0"/>
                              <w:marRight w:val="0"/>
                              <w:marTop w:val="0"/>
                              <w:marBottom w:val="0"/>
                              <w:divBdr>
                                <w:top w:val="none" w:sz="0" w:space="0" w:color="auto"/>
                                <w:left w:val="none" w:sz="0" w:space="0" w:color="auto"/>
                                <w:bottom w:val="none" w:sz="0" w:space="0" w:color="auto"/>
                                <w:right w:val="none" w:sz="0" w:space="0" w:color="auto"/>
                              </w:divBdr>
                              <w:divsChild>
                                <w:div w:id="1026059824">
                                  <w:marLeft w:val="0"/>
                                  <w:marRight w:val="0"/>
                                  <w:marTop w:val="0"/>
                                  <w:marBottom w:val="0"/>
                                  <w:divBdr>
                                    <w:top w:val="none" w:sz="0" w:space="0" w:color="auto"/>
                                    <w:left w:val="none" w:sz="0" w:space="0" w:color="auto"/>
                                    <w:bottom w:val="none" w:sz="0" w:space="0" w:color="auto"/>
                                    <w:right w:val="none" w:sz="0" w:space="0" w:color="auto"/>
                                  </w:divBdr>
                                  <w:divsChild>
                                    <w:div w:id="1009068266">
                                      <w:marLeft w:val="0"/>
                                      <w:marRight w:val="0"/>
                                      <w:marTop w:val="0"/>
                                      <w:marBottom w:val="0"/>
                                      <w:divBdr>
                                        <w:top w:val="none" w:sz="0" w:space="0" w:color="auto"/>
                                        <w:left w:val="none" w:sz="0" w:space="0" w:color="auto"/>
                                        <w:bottom w:val="none" w:sz="0" w:space="0" w:color="auto"/>
                                        <w:right w:val="none" w:sz="0" w:space="0" w:color="auto"/>
                                      </w:divBdr>
                                      <w:divsChild>
                                        <w:div w:id="962999191">
                                          <w:marLeft w:val="0"/>
                                          <w:marRight w:val="0"/>
                                          <w:marTop w:val="15"/>
                                          <w:marBottom w:val="0"/>
                                          <w:divBdr>
                                            <w:top w:val="none" w:sz="0" w:space="0" w:color="auto"/>
                                            <w:left w:val="none" w:sz="0" w:space="0" w:color="auto"/>
                                            <w:bottom w:val="none" w:sz="0" w:space="0" w:color="auto"/>
                                            <w:right w:val="none" w:sz="0" w:space="0" w:color="auto"/>
                                          </w:divBdr>
                                          <w:divsChild>
                                            <w:div w:id="1452703604">
                                              <w:marLeft w:val="0"/>
                                              <w:marRight w:val="0"/>
                                              <w:marTop w:val="0"/>
                                              <w:marBottom w:val="0"/>
                                              <w:divBdr>
                                                <w:top w:val="none" w:sz="0" w:space="0" w:color="auto"/>
                                                <w:left w:val="none" w:sz="0" w:space="0" w:color="auto"/>
                                                <w:bottom w:val="none" w:sz="0" w:space="0" w:color="auto"/>
                                                <w:right w:val="none" w:sz="0" w:space="0" w:color="auto"/>
                                              </w:divBdr>
                                              <w:divsChild>
                                                <w:div w:id="1101144470">
                                                  <w:marLeft w:val="0"/>
                                                  <w:marRight w:val="0"/>
                                                  <w:marTop w:val="0"/>
                                                  <w:marBottom w:val="0"/>
                                                  <w:divBdr>
                                                    <w:top w:val="none" w:sz="0" w:space="0" w:color="auto"/>
                                                    <w:left w:val="none" w:sz="0" w:space="0" w:color="auto"/>
                                                    <w:bottom w:val="none" w:sz="0" w:space="0" w:color="auto"/>
                                                    <w:right w:val="none" w:sz="0" w:space="0" w:color="auto"/>
                                                  </w:divBdr>
                                                </w:div>
                                                <w:div w:id="159275789">
                                                  <w:marLeft w:val="0"/>
                                                  <w:marRight w:val="0"/>
                                                  <w:marTop w:val="0"/>
                                                  <w:marBottom w:val="0"/>
                                                  <w:divBdr>
                                                    <w:top w:val="none" w:sz="0" w:space="0" w:color="auto"/>
                                                    <w:left w:val="none" w:sz="0" w:space="0" w:color="auto"/>
                                                    <w:bottom w:val="none" w:sz="0" w:space="0" w:color="auto"/>
                                                    <w:right w:val="none" w:sz="0" w:space="0" w:color="auto"/>
                                                  </w:divBdr>
                                                </w:div>
                                                <w:div w:id="472450398">
                                                  <w:marLeft w:val="0"/>
                                                  <w:marRight w:val="0"/>
                                                  <w:marTop w:val="0"/>
                                                  <w:marBottom w:val="0"/>
                                                  <w:divBdr>
                                                    <w:top w:val="none" w:sz="0" w:space="0" w:color="auto"/>
                                                    <w:left w:val="none" w:sz="0" w:space="0" w:color="auto"/>
                                                    <w:bottom w:val="none" w:sz="0" w:space="0" w:color="auto"/>
                                                    <w:right w:val="none" w:sz="0" w:space="0" w:color="auto"/>
                                                  </w:divBdr>
                                                </w:div>
                                                <w:div w:id="19110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107126">
      <w:bodyDiv w:val="1"/>
      <w:marLeft w:val="0"/>
      <w:marRight w:val="0"/>
      <w:marTop w:val="0"/>
      <w:marBottom w:val="0"/>
      <w:divBdr>
        <w:top w:val="none" w:sz="0" w:space="0" w:color="auto"/>
        <w:left w:val="none" w:sz="0" w:space="0" w:color="auto"/>
        <w:bottom w:val="none" w:sz="0" w:space="0" w:color="auto"/>
        <w:right w:val="none" w:sz="0" w:space="0" w:color="auto"/>
      </w:divBdr>
      <w:divsChild>
        <w:div w:id="106588109">
          <w:marLeft w:val="0"/>
          <w:marRight w:val="0"/>
          <w:marTop w:val="0"/>
          <w:marBottom w:val="0"/>
          <w:divBdr>
            <w:top w:val="none" w:sz="0" w:space="0" w:color="auto"/>
            <w:left w:val="none" w:sz="0" w:space="0" w:color="auto"/>
            <w:bottom w:val="none" w:sz="0" w:space="0" w:color="auto"/>
            <w:right w:val="none" w:sz="0" w:space="0" w:color="auto"/>
          </w:divBdr>
          <w:divsChild>
            <w:div w:id="1669479448">
              <w:marLeft w:val="0"/>
              <w:marRight w:val="0"/>
              <w:marTop w:val="900"/>
              <w:marBottom w:val="0"/>
              <w:divBdr>
                <w:top w:val="none" w:sz="0" w:space="0" w:color="auto"/>
                <w:left w:val="none" w:sz="0" w:space="0" w:color="auto"/>
                <w:bottom w:val="none" w:sz="0" w:space="0" w:color="auto"/>
                <w:right w:val="none" w:sz="0" w:space="0" w:color="auto"/>
              </w:divBdr>
              <w:divsChild>
                <w:div w:id="1987776152">
                  <w:marLeft w:val="0"/>
                  <w:marRight w:val="0"/>
                  <w:marTop w:val="0"/>
                  <w:marBottom w:val="0"/>
                  <w:divBdr>
                    <w:top w:val="none" w:sz="0" w:space="0" w:color="auto"/>
                    <w:left w:val="none" w:sz="0" w:space="0" w:color="auto"/>
                    <w:bottom w:val="none" w:sz="0" w:space="0" w:color="auto"/>
                    <w:right w:val="none" w:sz="0" w:space="0" w:color="auto"/>
                  </w:divBdr>
                  <w:divsChild>
                    <w:div w:id="319775517">
                      <w:marLeft w:val="0"/>
                      <w:marRight w:val="0"/>
                      <w:marTop w:val="0"/>
                      <w:marBottom w:val="0"/>
                      <w:divBdr>
                        <w:top w:val="none" w:sz="0" w:space="0" w:color="auto"/>
                        <w:left w:val="none" w:sz="0" w:space="0" w:color="auto"/>
                        <w:bottom w:val="none" w:sz="0" w:space="0" w:color="auto"/>
                        <w:right w:val="none" w:sz="0" w:space="0" w:color="auto"/>
                      </w:divBdr>
                      <w:divsChild>
                        <w:div w:id="382027331">
                          <w:marLeft w:val="0"/>
                          <w:marRight w:val="0"/>
                          <w:marTop w:val="0"/>
                          <w:marBottom w:val="0"/>
                          <w:divBdr>
                            <w:top w:val="none" w:sz="0" w:space="0" w:color="auto"/>
                            <w:left w:val="none" w:sz="0" w:space="0" w:color="auto"/>
                            <w:bottom w:val="none" w:sz="0" w:space="0" w:color="auto"/>
                            <w:right w:val="none" w:sz="0" w:space="0" w:color="auto"/>
                          </w:divBdr>
                          <w:divsChild>
                            <w:div w:id="2124961755">
                              <w:marLeft w:val="0"/>
                              <w:marRight w:val="0"/>
                              <w:marTop w:val="0"/>
                              <w:marBottom w:val="0"/>
                              <w:divBdr>
                                <w:top w:val="none" w:sz="0" w:space="0" w:color="auto"/>
                                <w:left w:val="none" w:sz="0" w:space="0" w:color="auto"/>
                                <w:bottom w:val="none" w:sz="0" w:space="0" w:color="auto"/>
                                <w:right w:val="none" w:sz="0" w:space="0" w:color="auto"/>
                              </w:divBdr>
                              <w:divsChild>
                                <w:div w:id="1288663391">
                                  <w:marLeft w:val="0"/>
                                  <w:marRight w:val="0"/>
                                  <w:marTop w:val="0"/>
                                  <w:marBottom w:val="0"/>
                                  <w:divBdr>
                                    <w:top w:val="none" w:sz="0" w:space="0" w:color="auto"/>
                                    <w:left w:val="none" w:sz="0" w:space="0" w:color="auto"/>
                                    <w:bottom w:val="none" w:sz="0" w:space="0" w:color="auto"/>
                                    <w:right w:val="none" w:sz="0" w:space="0" w:color="auto"/>
                                  </w:divBdr>
                                  <w:divsChild>
                                    <w:div w:id="1240334691">
                                      <w:marLeft w:val="0"/>
                                      <w:marRight w:val="0"/>
                                      <w:marTop w:val="0"/>
                                      <w:marBottom w:val="0"/>
                                      <w:divBdr>
                                        <w:top w:val="none" w:sz="0" w:space="0" w:color="auto"/>
                                        <w:left w:val="none" w:sz="0" w:space="0" w:color="auto"/>
                                        <w:bottom w:val="none" w:sz="0" w:space="0" w:color="auto"/>
                                        <w:right w:val="none" w:sz="0" w:space="0" w:color="auto"/>
                                      </w:divBdr>
                                      <w:divsChild>
                                        <w:div w:id="781723309">
                                          <w:marLeft w:val="0"/>
                                          <w:marRight w:val="0"/>
                                          <w:marTop w:val="15"/>
                                          <w:marBottom w:val="0"/>
                                          <w:divBdr>
                                            <w:top w:val="none" w:sz="0" w:space="0" w:color="auto"/>
                                            <w:left w:val="none" w:sz="0" w:space="0" w:color="auto"/>
                                            <w:bottom w:val="none" w:sz="0" w:space="0" w:color="auto"/>
                                            <w:right w:val="none" w:sz="0" w:space="0" w:color="auto"/>
                                          </w:divBdr>
                                          <w:divsChild>
                                            <w:div w:id="1102847196">
                                              <w:marLeft w:val="0"/>
                                              <w:marRight w:val="0"/>
                                              <w:marTop w:val="0"/>
                                              <w:marBottom w:val="0"/>
                                              <w:divBdr>
                                                <w:top w:val="none" w:sz="0" w:space="0" w:color="auto"/>
                                                <w:left w:val="none" w:sz="0" w:space="0" w:color="auto"/>
                                                <w:bottom w:val="none" w:sz="0" w:space="0" w:color="auto"/>
                                                <w:right w:val="none" w:sz="0" w:space="0" w:color="auto"/>
                                              </w:divBdr>
                                              <w:divsChild>
                                                <w:div w:id="1095512154">
                                                  <w:marLeft w:val="0"/>
                                                  <w:marRight w:val="0"/>
                                                  <w:marTop w:val="0"/>
                                                  <w:marBottom w:val="0"/>
                                                  <w:divBdr>
                                                    <w:top w:val="none" w:sz="0" w:space="0" w:color="auto"/>
                                                    <w:left w:val="none" w:sz="0" w:space="0" w:color="auto"/>
                                                    <w:bottom w:val="none" w:sz="0" w:space="0" w:color="auto"/>
                                                    <w:right w:val="none" w:sz="0" w:space="0" w:color="auto"/>
                                                  </w:divBdr>
                                                </w:div>
                                                <w:div w:id="1941376632">
                                                  <w:marLeft w:val="0"/>
                                                  <w:marRight w:val="0"/>
                                                  <w:marTop w:val="0"/>
                                                  <w:marBottom w:val="0"/>
                                                  <w:divBdr>
                                                    <w:top w:val="none" w:sz="0" w:space="0" w:color="auto"/>
                                                    <w:left w:val="none" w:sz="0" w:space="0" w:color="auto"/>
                                                    <w:bottom w:val="none" w:sz="0" w:space="0" w:color="auto"/>
                                                    <w:right w:val="none" w:sz="0" w:space="0" w:color="auto"/>
                                                  </w:divBdr>
                                                </w:div>
                                                <w:div w:id="758795088">
                                                  <w:marLeft w:val="0"/>
                                                  <w:marRight w:val="0"/>
                                                  <w:marTop w:val="0"/>
                                                  <w:marBottom w:val="0"/>
                                                  <w:divBdr>
                                                    <w:top w:val="none" w:sz="0" w:space="0" w:color="auto"/>
                                                    <w:left w:val="none" w:sz="0" w:space="0" w:color="auto"/>
                                                    <w:bottom w:val="none" w:sz="0" w:space="0" w:color="auto"/>
                                                    <w:right w:val="none" w:sz="0" w:space="0" w:color="auto"/>
                                                  </w:divBdr>
                                                </w:div>
                                                <w:div w:id="12821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9948">
      <w:bodyDiv w:val="1"/>
      <w:marLeft w:val="0"/>
      <w:marRight w:val="0"/>
      <w:marTop w:val="0"/>
      <w:marBottom w:val="0"/>
      <w:divBdr>
        <w:top w:val="none" w:sz="0" w:space="0" w:color="auto"/>
        <w:left w:val="none" w:sz="0" w:space="0" w:color="auto"/>
        <w:bottom w:val="none" w:sz="0" w:space="0" w:color="auto"/>
        <w:right w:val="none" w:sz="0" w:space="0" w:color="auto"/>
      </w:divBdr>
    </w:div>
    <w:div w:id="1533373254">
      <w:bodyDiv w:val="1"/>
      <w:marLeft w:val="0"/>
      <w:marRight w:val="0"/>
      <w:marTop w:val="0"/>
      <w:marBottom w:val="0"/>
      <w:divBdr>
        <w:top w:val="none" w:sz="0" w:space="0" w:color="auto"/>
        <w:left w:val="none" w:sz="0" w:space="0" w:color="auto"/>
        <w:bottom w:val="none" w:sz="0" w:space="0" w:color="auto"/>
        <w:right w:val="none" w:sz="0" w:space="0" w:color="auto"/>
      </w:divBdr>
      <w:divsChild>
        <w:div w:id="1196891130">
          <w:marLeft w:val="274"/>
          <w:marRight w:val="0"/>
          <w:marTop w:val="0"/>
          <w:marBottom w:val="0"/>
          <w:divBdr>
            <w:top w:val="none" w:sz="0" w:space="0" w:color="auto"/>
            <w:left w:val="none" w:sz="0" w:space="0" w:color="auto"/>
            <w:bottom w:val="none" w:sz="0" w:space="0" w:color="auto"/>
            <w:right w:val="none" w:sz="0" w:space="0" w:color="auto"/>
          </w:divBdr>
        </w:div>
        <w:div w:id="51853798">
          <w:marLeft w:val="274"/>
          <w:marRight w:val="0"/>
          <w:marTop w:val="0"/>
          <w:marBottom w:val="0"/>
          <w:divBdr>
            <w:top w:val="none" w:sz="0" w:space="0" w:color="auto"/>
            <w:left w:val="none" w:sz="0" w:space="0" w:color="auto"/>
            <w:bottom w:val="none" w:sz="0" w:space="0" w:color="auto"/>
            <w:right w:val="none" w:sz="0" w:space="0" w:color="auto"/>
          </w:divBdr>
        </w:div>
        <w:div w:id="190001953">
          <w:marLeft w:val="274"/>
          <w:marRight w:val="0"/>
          <w:marTop w:val="0"/>
          <w:marBottom w:val="0"/>
          <w:divBdr>
            <w:top w:val="none" w:sz="0" w:space="0" w:color="auto"/>
            <w:left w:val="none" w:sz="0" w:space="0" w:color="auto"/>
            <w:bottom w:val="none" w:sz="0" w:space="0" w:color="auto"/>
            <w:right w:val="none" w:sz="0" w:space="0" w:color="auto"/>
          </w:divBdr>
        </w:div>
        <w:div w:id="765611860">
          <w:marLeft w:val="274"/>
          <w:marRight w:val="0"/>
          <w:marTop w:val="0"/>
          <w:marBottom w:val="0"/>
          <w:divBdr>
            <w:top w:val="none" w:sz="0" w:space="0" w:color="auto"/>
            <w:left w:val="none" w:sz="0" w:space="0" w:color="auto"/>
            <w:bottom w:val="none" w:sz="0" w:space="0" w:color="auto"/>
            <w:right w:val="none" w:sz="0" w:space="0" w:color="auto"/>
          </w:divBdr>
        </w:div>
      </w:divsChild>
    </w:div>
    <w:div w:id="1591621241">
      <w:bodyDiv w:val="1"/>
      <w:marLeft w:val="0"/>
      <w:marRight w:val="0"/>
      <w:marTop w:val="0"/>
      <w:marBottom w:val="0"/>
      <w:divBdr>
        <w:top w:val="none" w:sz="0" w:space="0" w:color="auto"/>
        <w:left w:val="none" w:sz="0" w:space="0" w:color="auto"/>
        <w:bottom w:val="none" w:sz="0" w:space="0" w:color="auto"/>
        <w:right w:val="none" w:sz="0" w:space="0" w:color="auto"/>
      </w:divBdr>
      <w:divsChild>
        <w:div w:id="2058161979">
          <w:marLeft w:val="0"/>
          <w:marRight w:val="0"/>
          <w:marTop w:val="0"/>
          <w:marBottom w:val="135"/>
          <w:divBdr>
            <w:top w:val="none" w:sz="0" w:space="0" w:color="auto"/>
            <w:left w:val="none" w:sz="0" w:space="0" w:color="auto"/>
            <w:bottom w:val="none" w:sz="0" w:space="0" w:color="auto"/>
            <w:right w:val="none" w:sz="0" w:space="0" w:color="auto"/>
          </w:divBdr>
        </w:div>
      </w:divsChild>
    </w:div>
    <w:div w:id="1601176820">
      <w:bodyDiv w:val="1"/>
      <w:marLeft w:val="0"/>
      <w:marRight w:val="0"/>
      <w:marTop w:val="0"/>
      <w:marBottom w:val="0"/>
      <w:divBdr>
        <w:top w:val="none" w:sz="0" w:space="0" w:color="auto"/>
        <w:left w:val="none" w:sz="0" w:space="0" w:color="auto"/>
        <w:bottom w:val="none" w:sz="0" w:space="0" w:color="auto"/>
        <w:right w:val="none" w:sz="0" w:space="0" w:color="auto"/>
      </w:divBdr>
    </w:div>
    <w:div w:id="1727677143">
      <w:bodyDiv w:val="1"/>
      <w:marLeft w:val="0"/>
      <w:marRight w:val="0"/>
      <w:marTop w:val="0"/>
      <w:marBottom w:val="0"/>
      <w:divBdr>
        <w:top w:val="none" w:sz="0" w:space="0" w:color="auto"/>
        <w:left w:val="none" w:sz="0" w:space="0" w:color="auto"/>
        <w:bottom w:val="none" w:sz="0" w:space="0" w:color="auto"/>
        <w:right w:val="none" w:sz="0" w:space="0" w:color="auto"/>
      </w:divBdr>
    </w:div>
    <w:div w:id="1731145805">
      <w:bodyDiv w:val="1"/>
      <w:marLeft w:val="0"/>
      <w:marRight w:val="0"/>
      <w:marTop w:val="0"/>
      <w:marBottom w:val="0"/>
      <w:divBdr>
        <w:top w:val="none" w:sz="0" w:space="0" w:color="auto"/>
        <w:left w:val="none" w:sz="0" w:space="0" w:color="auto"/>
        <w:bottom w:val="none" w:sz="0" w:space="0" w:color="auto"/>
        <w:right w:val="none" w:sz="0" w:space="0" w:color="auto"/>
      </w:divBdr>
    </w:div>
    <w:div w:id="1742561495">
      <w:bodyDiv w:val="1"/>
      <w:marLeft w:val="0"/>
      <w:marRight w:val="0"/>
      <w:marTop w:val="0"/>
      <w:marBottom w:val="0"/>
      <w:divBdr>
        <w:top w:val="none" w:sz="0" w:space="0" w:color="auto"/>
        <w:left w:val="none" w:sz="0" w:space="0" w:color="auto"/>
        <w:bottom w:val="none" w:sz="0" w:space="0" w:color="auto"/>
        <w:right w:val="none" w:sz="0" w:space="0" w:color="auto"/>
      </w:divBdr>
      <w:divsChild>
        <w:div w:id="1211963544">
          <w:marLeft w:val="288"/>
          <w:marRight w:val="0"/>
          <w:marTop w:val="0"/>
          <w:marBottom w:val="0"/>
          <w:divBdr>
            <w:top w:val="none" w:sz="0" w:space="0" w:color="auto"/>
            <w:left w:val="none" w:sz="0" w:space="0" w:color="auto"/>
            <w:bottom w:val="none" w:sz="0" w:space="0" w:color="auto"/>
            <w:right w:val="none" w:sz="0" w:space="0" w:color="auto"/>
          </w:divBdr>
        </w:div>
        <w:div w:id="1267957367">
          <w:marLeft w:val="576"/>
          <w:marRight w:val="0"/>
          <w:marTop w:val="0"/>
          <w:marBottom w:val="0"/>
          <w:divBdr>
            <w:top w:val="none" w:sz="0" w:space="0" w:color="auto"/>
            <w:left w:val="none" w:sz="0" w:space="0" w:color="auto"/>
            <w:bottom w:val="none" w:sz="0" w:space="0" w:color="auto"/>
            <w:right w:val="none" w:sz="0" w:space="0" w:color="auto"/>
          </w:divBdr>
        </w:div>
        <w:div w:id="1562869244">
          <w:marLeft w:val="576"/>
          <w:marRight w:val="0"/>
          <w:marTop w:val="0"/>
          <w:marBottom w:val="0"/>
          <w:divBdr>
            <w:top w:val="none" w:sz="0" w:space="0" w:color="auto"/>
            <w:left w:val="none" w:sz="0" w:space="0" w:color="auto"/>
            <w:bottom w:val="none" w:sz="0" w:space="0" w:color="auto"/>
            <w:right w:val="none" w:sz="0" w:space="0" w:color="auto"/>
          </w:divBdr>
        </w:div>
        <w:div w:id="1221479429">
          <w:marLeft w:val="576"/>
          <w:marRight w:val="0"/>
          <w:marTop w:val="0"/>
          <w:marBottom w:val="0"/>
          <w:divBdr>
            <w:top w:val="none" w:sz="0" w:space="0" w:color="auto"/>
            <w:left w:val="none" w:sz="0" w:space="0" w:color="auto"/>
            <w:bottom w:val="none" w:sz="0" w:space="0" w:color="auto"/>
            <w:right w:val="none" w:sz="0" w:space="0" w:color="auto"/>
          </w:divBdr>
        </w:div>
      </w:divsChild>
    </w:div>
    <w:div w:id="1918124140">
      <w:bodyDiv w:val="1"/>
      <w:marLeft w:val="0"/>
      <w:marRight w:val="0"/>
      <w:marTop w:val="0"/>
      <w:marBottom w:val="0"/>
      <w:divBdr>
        <w:top w:val="none" w:sz="0" w:space="0" w:color="auto"/>
        <w:left w:val="none" w:sz="0" w:space="0" w:color="auto"/>
        <w:bottom w:val="none" w:sz="0" w:space="0" w:color="auto"/>
        <w:right w:val="none" w:sz="0" w:space="0" w:color="auto"/>
      </w:divBdr>
    </w:div>
    <w:div w:id="1938439593">
      <w:bodyDiv w:val="1"/>
      <w:marLeft w:val="0"/>
      <w:marRight w:val="0"/>
      <w:marTop w:val="0"/>
      <w:marBottom w:val="0"/>
      <w:divBdr>
        <w:top w:val="none" w:sz="0" w:space="0" w:color="auto"/>
        <w:left w:val="none" w:sz="0" w:space="0" w:color="auto"/>
        <w:bottom w:val="none" w:sz="0" w:space="0" w:color="auto"/>
        <w:right w:val="none" w:sz="0" w:space="0" w:color="auto"/>
      </w:divBdr>
      <w:divsChild>
        <w:div w:id="636186832">
          <w:marLeft w:val="288"/>
          <w:marRight w:val="0"/>
          <w:marTop w:val="0"/>
          <w:marBottom w:val="0"/>
          <w:divBdr>
            <w:top w:val="none" w:sz="0" w:space="0" w:color="auto"/>
            <w:left w:val="none" w:sz="0" w:space="0" w:color="auto"/>
            <w:bottom w:val="none" w:sz="0" w:space="0" w:color="auto"/>
            <w:right w:val="none" w:sz="0" w:space="0" w:color="auto"/>
          </w:divBdr>
        </w:div>
      </w:divsChild>
    </w:div>
    <w:div w:id="1987472881">
      <w:bodyDiv w:val="1"/>
      <w:marLeft w:val="0"/>
      <w:marRight w:val="0"/>
      <w:marTop w:val="0"/>
      <w:marBottom w:val="0"/>
      <w:divBdr>
        <w:top w:val="none" w:sz="0" w:space="0" w:color="auto"/>
        <w:left w:val="none" w:sz="0" w:space="0" w:color="auto"/>
        <w:bottom w:val="none" w:sz="0" w:space="0" w:color="auto"/>
        <w:right w:val="none" w:sz="0" w:space="0" w:color="auto"/>
      </w:divBdr>
    </w:div>
    <w:div w:id="2002347787">
      <w:bodyDiv w:val="1"/>
      <w:marLeft w:val="0"/>
      <w:marRight w:val="0"/>
      <w:marTop w:val="0"/>
      <w:marBottom w:val="0"/>
      <w:divBdr>
        <w:top w:val="none" w:sz="0" w:space="0" w:color="auto"/>
        <w:left w:val="none" w:sz="0" w:space="0" w:color="auto"/>
        <w:bottom w:val="none" w:sz="0" w:space="0" w:color="auto"/>
        <w:right w:val="none" w:sz="0" w:space="0" w:color="auto"/>
      </w:divBdr>
    </w:div>
    <w:div w:id="2007392234">
      <w:bodyDiv w:val="1"/>
      <w:marLeft w:val="0"/>
      <w:marRight w:val="0"/>
      <w:marTop w:val="0"/>
      <w:marBottom w:val="0"/>
      <w:divBdr>
        <w:top w:val="none" w:sz="0" w:space="0" w:color="auto"/>
        <w:left w:val="none" w:sz="0" w:space="0" w:color="auto"/>
        <w:bottom w:val="none" w:sz="0" w:space="0" w:color="auto"/>
        <w:right w:val="none" w:sz="0" w:space="0" w:color="auto"/>
      </w:divBdr>
      <w:divsChild>
        <w:div w:id="1993564205">
          <w:marLeft w:val="216"/>
          <w:marRight w:val="0"/>
          <w:marTop w:val="0"/>
          <w:marBottom w:val="0"/>
          <w:divBdr>
            <w:top w:val="none" w:sz="0" w:space="0" w:color="auto"/>
            <w:left w:val="none" w:sz="0" w:space="0" w:color="auto"/>
            <w:bottom w:val="none" w:sz="0" w:space="0" w:color="auto"/>
            <w:right w:val="none" w:sz="0" w:space="0" w:color="auto"/>
          </w:divBdr>
        </w:div>
        <w:div w:id="1961567745">
          <w:marLeft w:val="216"/>
          <w:marRight w:val="0"/>
          <w:marTop w:val="0"/>
          <w:marBottom w:val="0"/>
          <w:divBdr>
            <w:top w:val="none" w:sz="0" w:space="0" w:color="auto"/>
            <w:left w:val="none" w:sz="0" w:space="0" w:color="auto"/>
            <w:bottom w:val="none" w:sz="0" w:space="0" w:color="auto"/>
            <w:right w:val="none" w:sz="0" w:space="0" w:color="auto"/>
          </w:divBdr>
        </w:div>
      </w:divsChild>
    </w:div>
    <w:div w:id="2063946783">
      <w:bodyDiv w:val="1"/>
      <w:marLeft w:val="0"/>
      <w:marRight w:val="0"/>
      <w:marTop w:val="0"/>
      <w:marBottom w:val="0"/>
      <w:divBdr>
        <w:top w:val="none" w:sz="0" w:space="0" w:color="auto"/>
        <w:left w:val="none" w:sz="0" w:space="0" w:color="auto"/>
        <w:bottom w:val="none" w:sz="0" w:space="0" w:color="auto"/>
        <w:right w:val="none" w:sz="0" w:space="0" w:color="auto"/>
      </w:divBdr>
      <w:divsChild>
        <w:div w:id="2089110520">
          <w:marLeft w:val="0"/>
          <w:marRight w:val="0"/>
          <w:marTop w:val="120"/>
          <w:marBottom w:val="0"/>
          <w:divBdr>
            <w:top w:val="none" w:sz="0" w:space="0" w:color="auto"/>
            <w:left w:val="none" w:sz="0" w:space="0" w:color="auto"/>
            <w:bottom w:val="none" w:sz="0" w:space="0" w:color="auto"/>
            <w:right w:val="none" w:sz="0" w:space="0" w:color="auto"/>
          </w:divBdr>
        </w:div>
      </w:divsChild>
    </w:div>
    <w:div w:id="206995872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d.springer.com/article/10.1007/s10689-014-9749-9" TargetMode="External"/><Relationship Id="rId18" Type="http://schemas.openxmlformats.org/officeDocument/2006/relationships/hyperlink" Target="https://clinicaltrials.gov/ct2/show/NCT02151747" TargetMode="External"/><Relationship Id="rId3" Type="http://schemas.openxmlformats.org/officeDocument/2006/relationships/styles" Target="styles.xml"/><Relationship Id="rId21" Type="http://schemas.openxmlformats.org/officeDocument/2006/relationships/hyperlink" Target="http://www.nejm.org/doi/full/10.1056/NEJMoa170645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cbi.nlm.nih.gov/labs/articles/2589389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27848044" TargetMode="External"/><Relationship Id="rId20" Type="http://schemas.openxmlformats.org/officeDocument/2006/relationships/hyperlink" Target="https://www.ncbi.nlm.nih.gov/pmc/articles/PMC54169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bi.nlm.nih.gov/pmc/articles/PMC4546651/" TargetMode="External"/><Relationship Id="rId23" Type="http://schemas.openxmlformats.org/officeDocument/2006/relationships/hyperlink" Target="https://www.rcpaqap.com.au/home-page" TargetMode="External"/><Relationship Id="rId10" Type="http://schemas.openxmlformats.org/officeDocument/2006/relationships/hyperlink" Target="mailto:hta@health.gov.au" TargetMode="External"/><Relationship Id="rId19" Type="http://schemas.openxmlformats.org/officeDocument/2006/relationships/hyperlink" Target="https://www.ncbi.nlm.nih.gov/pmc/articles/PMC54169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hindawi.com/journals/bmri/2014/542541/"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nccn.org/professionals/physician_gls/pdf/breast.pdf" TargetMode="External"/><Relationship Id="rId3" Type="http://schemas.openxmlformats.org/officeDocument/2006/relationships/hyperlink" Target="https://www.bcna.org.au/understanding-breast-cancer/" TargetMode="External"/><Relationship Id="rId7" Type="http://schemas.openxmlformats.org/officeDocument/2006/relationships/hyperlink" Target="http://www.eviq.org.au/Protocol/tabid/66/categoryid/440/id/620/Genetic%20Testing%20for%20Heritable%20Mutations%20in%20the%20BRCA1%20and%20BRCA2%20Genes.aspx" TargetMode="External"/><Relationship Id="rId2" Type="http://schemas.openxmlformats.org/officeDocument/2006/relationships/hyperlink" Target="http://www.tga.gov.au/industry/ivd-framework-overview.htm" TargetMode="External"/><Relationship Id="rId1" Type="http://schemas.openxmlformats.org/officeDocument/2006/relationships/hyperlink" Target="http://www.eviq.org.au/Protocol/tabid/66/categoryid/440/id/620/Genetic%20Testing%20for%20Heritable%20Mutations%20in%20the%20BRCA1%20and%20BRCA2%20Genes.aspx" TargetMode="External"/><Relationship Id="rId6" Type="http://schemas.openxmlformats.org/officeDocument/2006/relationships/hyperlink" Target="http://www.nccn.org/professionals/physician_gls/pdf/genetics_screening.pdf.%20Accessed%203%20February%202014" TargetMode="External"/><Relationship Id="rId5" Type="http://schemas.openxmlformats.org/officeDocument/2006/relationships/hyperlink" Target="https://www.nice.org.uk/guidance/cg164/chapter/1-recommendations;" TargetMode="External"/><Relationship Id="rId4" Type="http://schemas.openxmlformats.org/officeDocument/2006/relationships/hyperlink" Target="http://www.breastcancer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CA77-176E-44AE-B8D3-4720ADDE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9412</Words>
  <Characters>53653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62940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2017-10-18T22:44:00Z</dcterms:created>
  <dcterms:modified xsi:type="dcterms:W3CDTF">2018-05-04T02:56:00Z</dcterms:modified>
</cp:coreProperties>
</file>