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88FE8" w14:textId="77777777" w:rsidR="00E44B80" w:rsidRPr="00CA400C" w:rsidRDefault="00E44B80" w:rsidP="00E44B80">
      <w:pPr>
        <w:jc w:val="center"/>
        <w:rPr>
          <w:b/>
          <w:szCs w:val="20"/>
        </w:rPr>
      </w:pPr>
      <w:r w:rsidRPr="00CA400C">
        <w:rPr>
          <w:b/>
          <w:noProof/>
          <w:szCs w:val="20"/>
          <w:lang w:eastAsia="en-AU"/>
        </w:rPr>
        <w:drawing>
          <wp:inline distT="0" distB="0" distL="0" distR="0" wp14:anchorId="73D90CF5" wp14:editId="68D2FD53">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1B15A7D3" w14:textId="77777777" w:rsidR="008B2610" w:rsidRPr="00CA400C" w:rsidRDefault="008B2610" w:rsidP="00F971CC">
      <w:pPr>
        <w:pStyle w:val="Title"/>
        <w:spacing w:before="2600"/>
      </w:pPr>
      <w:r w:rsidRPr="00CA400C">
        <w:t>Application Form</w:t>
      </w:r>
    </w:p>
    <w:p w14:paraId="28D41CE6" w14:textId="77777777" w:rsidR="00E44B80" w:rsidRPr="00CA400C" w:rsidRDefault="00E44B80" w:rsidP="00EB0182">
      <w:pPr>
        <w:pStyle w:val="Title"/>
        <w:spacing w:before="240"/>
        <w:rPr>
          <w:sz w:val="28"/>
          <w:szCs w:val="28"/>
        </w:rPr>
      </w:pPr>
      <w:r w:rsidRPr="00CA400C">
        <w:rPr>
          <w:sz w:val="28"/>
          <w:szCs w:val="28"/>
        </w:rPr>
        <w:t>(</w:t>
      </w:r>
      <w:r w:rsidR="001906CD" w:rsidRPr="00CA400C">
        <w:rPr>
          <w:sz w:val="28"/>
          <w:szCs w:val="28"/>
        </w:rPr>
        <w:t>New and Amended</w:t>
      </w:r>
      <w:r w:rsidR="00EB0182" w:rsidRPr="00CA400C">
        <w:rPr>
          <w:sz w:val="28"/>
          <w:szCs w:val="28"/>
        </w:rPr>
        <w:t xml:space="preserve"> </w:t>
      </w:r>
      <w:r w:rsidR="003433D1" w:rsidRPr="00CA400C">
        <w:rPr>
          <w:sz w:val="28"/>
          <w:szCs w:val="28"/>
        </w:rPr>
        <w:t>Requests for Public Funding</w:t>
      </w:r>
      <w:r w:rsidR="008B2610" w:rsidRPr="00CA400C">
        <w:rPr>
          <w:sz w:val="28"/>
          <w:szCs w:val="28"/>
        </w:rPr>
        <w:t>)</w:t>
      </w:r>
    </w:p>
    <w:p w14:paraId="6C6575D3" w14:textId="77777777" w:rsidR="00EB0182" w:rsidRPr="00CA400C" w:rsidRDefault="003013A9" w:rsidP="006751A9">
      <w:pPr>
        <w:jc w:val="center"/>
        <w:rPr>
          <w:rFonts w:ascii="Arial" w:hAnsi="Arial" w:cs="Arial"/>
          <w:b/>
          <w:sz w:val="52"/>
          <w:szCs w:val="52"/>
        </w:rPr>
      </w:pPr>
      <w:r w:rsidRPr="00CA400C">
        <w:rPr>
          <w:sz w:val="28"/>
          <w:szCs w:val="28"/>
        </w:rPr>
        <w:t xml:space="preserve">(Version </w:t>
      </w:r>
      <w:r w:rsidR="0005089D" w:rsidRPr="00CA400C">
        <w:rPr>
          <w:sz w:val="28"/>
          <w:szCs w:val="28"/>
        </w:rPr>
        <w:t>2.</w:t>
      </w:r>
      <w:r w:rsidR="00FF1A00" w:rsidRPr="00CA400C">
        <w:rPr>
          <w:sz w:val="28"/>
          <w:szCs w:val="28"/>
        </w:rPr>
        <w:t>5</w:t>
      </w:r>
      <w:r w:rsidR="00EB0182" w:rsidRPr="00CA400C">
        <w:rPr>
          <w:sz w:val="28"/>
          <w:szCs w:val="28"/>
        </w:rPr>
        <w:t>)</w:t>
      </w:r>
    </w:p>
    <w:p w14:paraId="0B660A6E" w14:textId="77777777" w:rsidR="00EB0182" w:rsidRPr="00CA400C" w:rsidRDefault="00EB0182" w:rsidP="003F7CB9">
      <w:pPr>
        <w:rPr>
          <w:rFonts w:ascii="Arial" w:hAnsi="Arial" w:cs="Arial"/>
          <w:b/>
          <w:sz w:val="52"/>
          <w:szCs w:val="52"/>
        </w:rPr>
      </w:pPr>
    </w:p>
    <w:p w14:paraId="64AACB4A" w14:textId="77777777" w:rsidR="00EB0182" w:rsidRPr="00CA400C" w:rsidRDefault="00EB0182" w:rsidP="003F7CB9">
      <w:pPr>
        <w:rPr>
          <w:rFonts w:ascii="Arial" w:hAnsi="Arial" w:cs="Arial"/>
          <w:b/>
          <w:sz w:val="52"/>
          <w:szCs w:val="52"/>
        </w:rPr>
      </w:pPr>
    </w:p>
    <w:p w14:paraId="0745D1F8" w14:textId="77777777" w:rsidR="00E44B80" w:rsidRPr="00CA400C" w:rsidRDefault="00300EEB" w:rsidP="003F7CB9">
      <w:r w:rsidRPr="00CA400C">
        <w:t>T</w:t>
      </w:r>
      <w:r w:rsidR="008B2610" w:rsidRPr="00CA400C">
        <w:t xml:space="preserve">his application form is to be completed for new and amended </w:t>
      </w:r>
      <w:r w:rsidR="003433D1" w:rsidRPr="00CA400C">
        <w:t xml:space="preserve">requests for public funding (including but not limited to the </w:t>
      </w:r>
      <w:r w:rsidR="008B2610" w:rsidRPr="00CA400C">
        <w:t>Medicare Benefits Schedule (MBS)</w:t>
      </w:r>
      <w:r w:rsidR="003433D1" w:rsidRPr="00CA400C">
        <w:t>)</w:t>
      </w:r>
      <w:r w:rsidR="00FE74EC" w:rsidRPr="00CA400C">
        <w:t xml:space="preserve">. </w:t>
      </w:r>
      <w:r w:rsidR="008B2610" w:rsidRPr="00CA400C">
        <w:t>It describes the detailed information that the</w:t>
      </w:r>
      <w:r w:rsidR="009F5758" w:rsidRPr="00CA400C">
        <w:t xml:space="preserve"> Australian Government</w:t>
      </w:r>
      <w:r w:rsidR="008B2610" w:rsidRPr="00CA400C">
        <w:t xml:space="preserve"> Department of Health requires in order to determine whether </w:t>
      </w:r>
      <w:r w:rsidR="003433D1" w:rsidRPr="00CA400C">
        <w:t>a</w:t>
      </w:r>
      <w:r w:rsidR="008B2610" w:rsidRPr="00CA400C">
        <w:t xml:space="preserve"> proposed </w:t>
      </w:r>
      <w:r w:rsidR="003433D1" w:rsidRPr="00CA400C">
        <w:t xml:space="preserve">medical </w:t>
      </w:r>
      <w:r w:rsidR="008B2610" w:rsidRPr="00CA400C">
        <w:t>service is suitable.</w:t>
      </w:r>
    </w:p>
    <w:p w14:paraId="1C94C2C8" w14:textId="77777777" w:rsidR="008B2610" w:rsidRPr="00CA400C" w:rsidRDefault="008B2610" w:rsidP="003F7CB9">
      <w:r w:rsidRPr="00CA400C">
        <w:t>Please use this template, along with the associated Application Form Guidelines to prepare your application</w:t>
      </w:r>
      <w:r w:rsidR="00FE74EC" w:rsidRPr="00CA400C">
        <w:t xml:space="preserve">. </w:t>
      </w:r>
      <w:r w:rsidRPr="00CA400C">
        <w:t>Please complete all questions that are applicable to the proposed service, providing relevant information only</w:t>
      </w:r>
      <w:r w:rsidR="00FE74EC" w:rsidRPr="00CA400C">
        <w:t xml:space="preserve">. </w:t>
      </w:r>
      <w:r w:rsidR="009F5758" w:rsidRPr="00CA400C">
        <w:t>Applications not completed in full will not be accepted.</w:t>
      </w:r>
    </w:p>
    <w:p w14:paraId="1201222A" w14:textId="77777777" w:rsidR="00EB0182" w:rsidRPr="00CA400C" w:rsidRDefault="00EB0182" w:rsidP="00EB0182">
      <w:pPr>
        <w:jc w:val="both"/>
        <w:rPr>
          <w:szCs w:val="20"/>
        </w:rPr>
      </w:pPr>
      <w:r w:rsidRPr="00CA400C">
        <w:rPr>
          <w:szCs w:val="20"/>
        </w:rPr>
        <w:t xml:space="preserve">The application form will be disseminated to professional bodies / organisations and consumer organisations that have </w:t>
      </w:r>
      <w:r w:rsidR="004A68EF" w:rsidRPr="00CA400C">
        <w:rPr>
          <w:szCs w:val="20"/>
        </w:rPr>
        <w:t xml:space="preserve">will </w:t>
      </w:r>
      <w:r w:rsidRPr="00CA400C">
        <w:rPr>
          <w:szCs w:val="20"/>
        </w:rPr>
        <w:t xml:space="preserve">be identified in Part 5, and any additional groups that the Department </w:t>
      </w:r>
      <w:r w:rsidR="004A68EF" w:rsidRPr="00CA400C">
        <w:rPr>
          <w:szCs w:val="20"/>
        </w:rPr>
        <w:t>deem</w:t>
      </w:r>
      <w:r w:rsidRPr="00CA400C">
        <w:rPr>
          <w:szCs w:val="20"/>
        </w:rPr>
        <w:t xml:space="preserve"> should be consulted with</w:t>
      </w:r>
      <w:r w:rsidR="00FE74EC" w:rsidRPr="00CA400C">
        <w:rPr>
          <w:szCs w:val="20"/>
        </w:rPr>
        <w:t xml:space="preserve">. </w:t>
      </w:r>
      <w:r w:rsidRPr="00CA400C">
        <w:rPr>
          <w:szCs w:val="20"/>
        </w:rPr>
        <w:t>The application form, with relevant material can be redacted if requested by the Applicant.</w:t>
      </w:r>
    </w:p>
    <w:p w14:paraId="50885EE1" w14:textId="77777777" w:rsidR="008B2610" w:rsidRPr="00CA400C" w:rsidRDefault="009F5758" w:rsidP="003F7CB9">
      <w:r w:rsidRPr="00CA400C">
        <w:t>Should you require any further assistance, d</w:t>
      </w:r>
      <w:r w:rsidR="008B2610" w:rsidRPr="00CA400C">
        <w:t>epartmental staff are available through the contact numbers and email below to discuss</w:t>
      </w:r>
      <w:r w:rsidRPr="00CA400C">
        <w:t xml:space="preserve"> the application form, or any other component of the Medical Services Advisory Committee process.</w:t>
      </w:r>
    </w:p>
    <w:p w14:paraId="1AACAB5E" w14:textId="77777777" w:rsidR="008B2610" w:rsidRPr="00CA400C" w:rsidRDefault="009F5758" w:rsidP="003F7CB9">
      <w:pPr>
        <w:spacing w:before="0" w:after="0"/>
      </w:pPr>
      <w:r w:rsidRPr="00CA400C">
        <w:t>Phone:  +61 2 6289 7550</w:t>
      </w:r>
    </w:p>
    <w:p w14:paraId="6D36EF84" w14:textId="77777777" w:rsidR="009F5758" w:rsidRPr="00CA400C" w:rsidRDefault="009F5758" w:rsidP="003F7CB9">
      <w:pPr>
        <w:spacing w:before="0" w:after="0"/>
      </w:pPr>
      <w:r w:rsidRPr="00CA400C">
        <w:t>Fax:  +61 2 6289 5540</w:t>
      </w:r>
    </w:p>
    <w:p w14:paraId="6F8F87E5" w14:textId="77777777" w:rsidR="009F5758" w:rsidRPr="00CA400C" w:rsidRDefault="009F5758" w:rsidP="003F7CB9">
      <w:pPr>
        <w:spacing w:before="0" w:after="0"/>
      </w:pPr>
      <w:r w:rsidRPr="00CA400C">
        <w:t xml:space="preserve">Email:  </w:t>
      </w:r>
      <w:hyperlink r:id="rId10" w:tooltip="click here to email the Department of Health HTA Team" w:history="1">
        <w:r w:rsidRPr="00CA400C">
          <w:rPr>
            <w:rStyle w:val="Hyperlink"/>
            <w:szCs w:val="20"/>
          </w:rPr>
          <w:t>hta@health.gov.au</w:t>
        </w:r>
      </w:hyperlink>
    </w:p>
    <w:p w14:paraId="705D6096" w14:textId="77777777" w:rsidR="009F5758" w:rsidRPr="00CA400C" w:rsidRDefault="009F5758" w:rsidP="003F7CB9">
      <w:pPr>
        <w:spacing w:before="0" w:after="0"/>
      </w:pPr>
      <w:r w:rsidRPr="00CA400C">
        <w:t xml:space="preserve">Website:  </w:t>
      </w:r>
      <w:hyperlink r:id="rId11" w:tooltip="click here to visit the Medical Services Advisory Committee website" w:history="1">
        <w:r w:rsidR="008E6227" w:rsidRPr="00CA400C">
          <w:rPr>
            <w:rStyle w:val="Hyperlink"/>
          </w:rPr>
          <w:t>www.msac.gov.au</w:t>
        </w:r>
      </w:hyperlink>
      <w:r w:rsidR="008E6227" w:rsidRPr="00CA400C">
        <w:t xml:space="preserve"> </w:t>
      </w:r>
      <w:r w:rsidR="001A02E3" w:rsidRPr="00CA400C">
        <w:t xml:space="preserve"> </w:t>
      </w:r>
    </w:p>
    <w:p w14:paraId="494F5932" w14:textId="77777777" w:rsidR="001D77ED" w:rsidRPr="00CA400C" w:rsidRDefault="00D73646" w:rsidP="006751A9">
      <w:bookmarkStart w:id="0" w:name="_Toc443555803"/>
      <w:r w:rsidRPr="00CA400C">
        <w:rPr>
          <w:rStyle w:val="IntenseReference"/>
        </w:rPr>
        <w:br w:type="page"/>
      </w:r>
      <w:bookmarkEnd w:id="0"/>
    </w:p>
    <w:p w14:paraId="041DB300" w14:textId="77777777" w:rsidR="00E04FB3" w:rsidRPr="00CA400C" w:rsidRDefault="00494011" w:rsidP="00A8732C">
      <w:pPr>
        <w:pStyle w:val="Heading1"/>
      </w:pPr>
      <w:r w:rsidRPr="00CA400C">
        <w:lastRenderedPageBreak/>
        <w:t>PART 1</w:t>
      </w:r>
      <w:r w:rsidR="00F93784" w:rsidRPr="00CA400C">
        <w:t xml:space="preserve"> – </w:t>
      </w:r>
      <w:r w:rsidR="00E04FB3" w:rsidRPr="00CA400C">
        <w:t>APPLICANT DETAILS</w:t>
      </w:r>
    </w:p>
    <w:p w14:paraId="0268C6B1" w14:textId="77777777" w:rsidR="00392F00" w:rsidRPr="00CA400C" w:rsidRDefault="00D57F88" w:rsidP="004A0BF4">
      <w:pPr>
        <w:pStyle w:val="Heading2"/>
      </w:pPr>
      <w:r w:rsidRPr="00CA400C">
        <w:t>Applicant d</w:t>
      </w:r>
      <w:r w:rsidR="00392F00" w:rsidRPr="00CA400C">
        <w:t>etails</w:t>
      </w:r>
      <w:r w:rsidR="000D066E" w:rsidRPr="00CA400C">
        <w:t xml:space="preserve"> (primary and alternative contacts)</w:t>
      </w:r>
    </w:p>
    <w:p w14:paraId="089B36EA" w14:textId="77777777" w:rsidR="00C171FB" w:rsidRPr="00CA400C" w:rsidRDefault="00C171FB" w:rsidP="00C171FB">
      <w:pPr>
        <w:pBdr>
          <w:top w:val="single" w:sz="4" w:space="1" w:color="auto"/>
          <w:left w:val="single" w:sz="4" w:space="4" w:color="auto"/>
          <w:bottom w:val="single" w:sz="4" w:space="1" w:color="auto"/>
          <w:right w:val="single" w:sz="4" w:space="4" w:color="auto"/>
        </w:pBdr>
      </w:pPr>
      <w:r w:rsidRPr="00CA400C">
        <w:t xml:space="preserve">Corporation / partnership details (where relevant): </w:t>
      </w:r>
      <w:r w:rsidR="00D326D6" w:rsidRPr="00CA400C">
        <w:t>AstraZeneca Australia Pty Ltd</w:t>
      </w:r>
    </w:p>
    <w:p w14:paraId="459674D8" w14:textId="77777777" w:rsidR="00C171FB" w:rsidRPr="00CA400C" w:rsidRDefault="00C171FB" w:rsidP="00C171FB">
      <w:pPr>
        <w:pBdr>
          <w:top w:val="single" w:sz="4" w:space="1" w:color="auto"/>
          <w:left w:val="single" w:sz="4" w:space="4" w:color="auto"/>
          <w:bottom w:val="single" w:sz="4" w:space="1" w:color="auto"/>
          <w:right w:val="single" w:sz="4" w:space="4" w:color="auto"/>
        </w:pBdr>
      </w:pPr>
      <w:r w:rsidRPr="00CA400C">
        <w:t xml:space="preserve">Corporation name: </w:t>
      </w:r>
      <w:r w:rsidR="00D326D6" w:rsidRPr="00CA400C">
        <w:t>AstraZeneca Australia Pty Ltd</w:t>
      </w:r>
    </w:p>
    <w:p w14:paraId="380D5807" w14:textId="7AAC076D" w:rsidR="00C171FB" w:rsidRPr="00CA400C" w:rsidRDefault="00C171FB" w:rsidP="00C171FB">
      <w:pPr>
        <w:pBdr>
          <w:top w:val="single" w:sz="4" w:space="1" w:color="auto"/>
          <w:left w:val="single" w:sz="4" w:space="4" w:color="auto"/>
          <w:bottom w:val="single" w:sz="4" w:space="1" w:color="auto"/>
          <w:right w:val="single" w:sz="4" w:space="4" w:color="auto"/>
        </w:pBdr>
      </w:pPr>
      <w:r w:rsidRPr="00CA400C">
        <w:t xml:space="preserve">ABN: </w:t>
      </w:r>
      <w:r w:rsidR="00B23042" w:rsidRPr="00CA400C">
        <w:t>Redacted</w:t>
      </w:r>
    </w:p>
    <w:p w14:paraId="72F6DFBA" w14:textId="2F4F794D" w:rsidR="00C171FB" w:rsidRPr="00CA400C" w:rsidRDefault="00C171FB" w:rsidP="00C171FB">
      <w:pPr>
        <w:pBdr>
          <w:top w:val="single" w:sz="4" w:space="1" w:color="auto"/>
          <w:left w:val="single" w:sz="4" w:space="4" w:color="auto"/>
          <w:bottom w:val="single" w:sz="4" w:space="1" w:color="auto"/>
          <w:right w:val="single" w:sz="4" w:space="4" w:color="auto"/>
        </w:pBdr>
      </w:pPr>
      <w:r w:rsidRPr="00CA400C">
        <w:t xml:space="preserve">Business trading name: </w:t>
      </w:r>
      <w:r w:rsidR="00B23042" w:rsidRPr="00CA400C">
        <w:t>Redacted</w:t>
      </w:r>
    </w:p>
    <w:p w14:paraId="03F1E4F3" w14:textId="77777777" w:rsidR="00C171FB" w:rsidRPr="00CA400C" w:rsidRDefault="00C171FB" w:rsidP="00C171FB"/>
    <w:p w14:paraId="71E8F3D9" w14:textId="3AE2B655" w:rsidR="00C171FB" w:rsidRPr="00CA400C" w:rsidRDefault="00C171FB" w:rsidP="00C171FB">
      <w:pPr>
        <w:rPr>
          <w:b/>
        </w:rPr>
      </w:pPr>
      <w:r w:rsidRPr="00CA400C">
        <w:rPr>
          <w:b/>
        </w:rPr>
        <w:t xml:space="preserve">Primary contact name: </w:t>
      </w:r>
      <w:r w:rsidR="00B23042" w:rsidRPr="00CA400C">
        <w:t>Redacted</w:t>
      </w:r>
    </w:p>
    <w:p w14:paraId="10DFC72B" w14:textId="77777777" w:rsidR="00C171FB" w:rsidRPr="00CA400C" w:rsidRDefault="00C171FB" w:rsidP="00C171FB">
      <w:pPr>
        <w:pBdr>
          <w:top w:val="single" w:sz="4" w:space="1" w:color="auto"/>
          <w:left w:val="single" w:sz="4" w:space="4" w:color="auto"/>
          <w:bottom w:val="single" w:sz="4" w:space="1" w:color="auto"/>
          <w:right w:val="single" w:sz="4" w:space="4" w:color="auto"/>
        </w:pBdr>
      </w:pPr>
      <w:r w:rsidRPr="00CA400C">
        <w:t>Primary contact numbers</w:t>
      </w:r>
    </w:p>
    <w:p w14:paraId="73E86F7F" w14:textId="74BE6F09" w:rsidR="00C171FB" w:rsidRPr="00CA400C" w:rsidRDefault="00C171FB" w:rsidP="00C171FB">
      <w:pPr>
        <w:pBdr>
          <w:top w:val="single" w:sz="4" w:space="1" w:color="auto"/>
          <w:left w:val="single" w:sz="4" w:space="4" w:color="auto"/>
          <w:bottom w:val="single" w:sz="4" w:space="1" w:color="auto"/>
          <w:right w:val="single" w:sz="4" w:space="4" w:color="auto"/>
        </w:pBdr>
      </w:pPr>
      <w:r w:rsidRPr="00CA400C">
        <w:t xml:space="preserve">Business: </w:t>
      </w:r>
      <w:r w:rsidR="00B23042" w:rsidRPr="00CA400C">
        <w:t>Redacted</w:t>
      </w:r>
    </w:p>
    <w:p w14:paraId="370A41CA" w14:textId="6481884A" w:rsidR="00C171FB" w:rsidRPr="00CA400C" w:rsidRDefault="00091C1C" w:rsidP="00C171FB">
      <w:pPr>
        <w:pBdr>
          <w:top w:val="single" w:sz="4" w:space="1" w:color="auto"/>
          <w:left w:val="single" w:sz="4" w:space="4" w:color="auto"/>
          <w:bottom w:val="single" w:sz="4" w:space="1" w:color="auto"/>
          <w:right w:val="single" w:sz="4" w:space="4" w:color="auto"/>
        </w:pBdr>
      </w:pPr>
      <w:r w:rsidRPr="00CA400C">
        <w:t xml:space="preserve">Mobile: </w:t>
      </w:r>
      <w:r w:rsidR="00B23042" w:rsidRPr="00CA400C">
        <w:t>Redacted</w:t>
      </w:r>
    </w:p>
    <w:p w14:paraId="1F8AB688" w14:textId="6CEB09C4" w:rsidR="00C171FB" w:rsidRPr="00CA400C" w:rsidRDefault="00C171FB" w:rsidP="00C171FB">
      <w:pPr>
        <w:pBdr>
          <w:top w:val="single" w:sz="4" w:space="1" w:color="auto"/>
          <w:left w:val="single" w:sz="4" w:space="4" w:color="auto"/>
          <w:bottom w:val="single" w:sz="4" w:space="1" w:color="auto"/>
          <w:right w:val="single" w:sz="4" w:space="4" w:color="auto"/>
        </w:pBdr>
      </w:pPr>
      <w:r w:rsidRPr="00CA400C">
        <w:t xml:space="preserve">Email: </w:t>
      </w:r>
      <w:r w:rsidR="00B23042" w:rsidRPr="00CA400C">
        <w:t>Redacted</w:t>
      </w:r>
    </w:p>
    <w:p w14:paraId="27893236" w14:textId="77777777" w:rsidR="00C171FB" w:rsidRPr="00CA400C" w:rsidRDefault="00C171FB" w:rsidP="00C171FB">
      <w:pPr>
        <w:rPr>
          <w:b/>
        </w:rPr>
      </w:pPr>
    </w:p>
    <w:p w14:paraId="5557FAF0" w14:textId="690DA3F2" w:rsidR="00C171FB" w:rsidRPr="00CA400C" w:rsidRDefault="00C171FB" w:rsidP="00C171FB">
      <w:pPr>
        <w:rPr>
          <w:b/>
        </w:rPr>
      </w:pPr>
      <w:r w:rsidRPr="00CA400C">
        <w:rPr>
          <w:b/>
        </w:rPr>
        <w:t xml:space="preserve">Alternative contact name: </w:t>
      </w:r>
      <w:r w:rsidR="004A6DDF" w:rsidRPr="00CA400C">
        <w:t>Redacted</w:t>
      </w:r>
    </w:p>
    <w:p w14:paraId="2B42A14E" w14:textId="77777777" w:rsidR="00C171FB" w:rsidRPr="00CA400C" w:rsidRDefault="00C171FB" w:rsidP="00C171FB">
      <w:pPr>
        <w:pBdr>
          <w:top w:val="single" w:sz="4" w:space="1" w:color="auto"/>
          <w:left w:val="single" w:sz="4" w:space="4" w:color="auto"/>
          <w:bottom w:val="single" w:sz="4" w:space="1" w:color="auto"/>
          <w:right w:val="single" w:sz="4" w:space="4" w:color="auto"/>
        </w:pBdr>
      </w:pPr>
      <w:r w:rsidRPr="00CA400C">
        <w:t>Alternative contact numbers</w:t>
      </w:r>
      <w:r w:rsidRPr="00CA400C">
        <w:tab/>
      </w:r>
    </w:p>
    <w:p w14:paraId="3632F831" w14:textId="15BAD867" w:rsidR="00C171FB" w:rsidRPr="00CA400C" w:rsidRDefault="00C171FB" w:rsidP="00C171FB">
      <w:pPr>
        <w:pBdr>
          <w:top w:val="single" w:sz="4" w:space="1" w:color="auto"/>
          <w:left w:val="single" w:sz="4" w:space="4" w:color="auto"/>
          <w:bottom w:val="single" w:sz="4" w:space="1" w:color="auto"/>
          <w:right w:val="single" w:sz="4" w:space="4" w:color="auto"/>
        </w:pBdr>
      </w:pPr>
      <w:r w:rsidRPr="00CA400C">
        <w:t xml:space="preserve">Business: </w:t>
      </w:r>
      <w:r w:rsidR="004A6DDF" w:rsidRPr="00CA400C">
        <w:t>Redacted</w:t>
      </w:r>
    </w:p>
    <w:p w14:paraId="5C6834E2" w14:textId="68597C00" w:rsidR="00C171FB" w:rsidRPr="00CA400C" w:rsidRDefault="00C171FB" w:rsidP="00C171FB">
      <w:pPr>
        <w:pBdr>
          <w:top w:val="single" w:sz="4" w:space="1" w:color="auto"/>
          <w:left w:val="single" w:sz="4" w:space="4" w:color="auto"/>
          <w:bottom w:val="single" w:sz="4" w:space="1" w:color="auto"/>
          <w:right w:val="single" w:sz="4" w:space="4" w:color="auto"/>
        </w:pBdr>
      </w:pPr>
      <w:r w:rsidRPr="00CA400C">
        <w:t xml:space="preserve">Mobile: </w:t>
      </w:r>
      <w:r w:rsidR="004A6DDF" w:rsidRPr="00CA400C">
        <w:t>Redacted</w:t>
      </w:r>
    </w:p>
    <w:p w14:paraId="24C1AE13" w14:textId="68D3F328" w:rsidR="00C171FB" w:rsidRPr="00CA400C" w:rsidRDefault="00C171FB" w:rsidP="00C171FB">
      <w:pPr>
        <w:pBdr>
          <w:top w:val="single" w:sz="4" w:space="1" w:color="auto"/>
          <w:left w:val="single" w:sz="4" w:space="4" w:color="auto"/>
          <w:bottom w:val="single" w:sz="4" w:space="1" w:color="auto"/>
          <w:right w:val="single" w:sz="4" w:space="4" w:color="auto"/>
        </w:pBdr>
      </w:pPr>
      <w:r w:rsidRPr="00CA400C">
        <w:t xml:space="preserve">Email: </w:t>
      </w:r>
      <w:r w:rsidR="004A6DDF" w:rsidRPr="00CA400C">
        <w:t>Redacted</w:t>
      </w:r>
    </w:p>
    <w:p w14:paraId="353FDEED" w14:textId="77777777" w:rsidR="00C171FB" w:rsidRPr="00CA400C" w:rsidRDefault="00C171FB" w:rsidP="00C171FB"/>
    <w:p w14:paraId="6E5803A2" w14:textId="77777777" w:rsidR="00F34AEC" w:rsidRPr="00CA400C" w:rsidRDefault="00F34AEC" w:rsidP="00F34AEC">
      <w:pPr>
        <w:pStyle w:val="Heading2"/>
      </w:pPr>
      <w:r w:rsidRPr="00CA400C">
        <w:t>(a) Are you a consultant acting on behalf of an Applicant?</w:t>
      </w:r>
    </w:p>
    <w:p w14:paraId="41906060" w14:textId="77777777" w:rsidR="00F34AEC" w:rsidRPr="00CA400C" w:rsidRDefault="00585FC0" w:rsidP="00F34AEC">
      <w:pPr>
        <w:spacing w:before="0" w:after="0"/>
        <w:ind w:left="426"/>
        <w:rPr>
          <w:szCs w:val="20"/>
        </w:rPr>
      </w:pPr>
      <w:r w:rsidRPr="00CA400C">
        <w:rPr>
          <w:szCs w:val="20"/>
        </w:rPr>
        <w:fldChar w:fldCharType="begin">
          <w:ffData>
            <w:name w:val=""/>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00F34AEC" w:rsidRPr="00CA400C">
        <w:rPr>
          <w:szCs w:val="20"/>
        </w:rPr>
        <w:t xml:space="preserve"> Yes</w:t>
      </w:r>
    </w:p>
    <w:p w14:paraId="5ACE2CE6" w14:textId="77777777" w:rsidR="00F34AEC" w:rsidRPr="00CA400C" w:rsidRDefault="00585FC0" w:rsidP="00F34AEC">
      <w:pPr>
        <w:spacing w:before="0" w:after="0"/>
        <w:ind w:left="426"/>
        <w:rPr>
          <w:szCs w:val="20"/>
        </w:rPr>
      </w:pPr>
      <w:r w:rsidRPr="00CA400C">
        <w:rPr>
          <w:szCs w:val="20"/>
        </w:rPr>
        <w:fldChar w:fldCharType="begin">
          <w:ffData>
            <w:name w:val="Check2"/>
            <w:enabled/>
            <w:calcOnExit w:val="0"/>
            <w:checkBox>
              <w:sizeAuto/>
              <w:default w:val="1"/>
            </w:checkBox>
          </w:ffData>
        </w:fldChar>
      </w:r>
      <w:bookmarkStart w:id="1" w:name="Check2"/>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bookmarkEnd w:id="1"/>
      <w:r w:rsidR="00F34AEC" w:rsidRPr="00CA400C">
        <w:rPr>
          <w:szCs w:val="20"/>
        </w:rPr>
        <w:t xml:space="preserve"> No</w:t>
      </w:r>
      <w:r w:rsidR="00352047" w:rsidRPr="00CA400C">
        <w:rPr>
          <w:szCs w:val="20"/>
        </w:rPr>
        <w:t xml:space="preserve"> </w:t>
      </w:r>
    </w:p>
    <w:p w14:paraId="329D4E38" w14:textId="77777777" w:rsidR="00F34AEC" w:rsidRPr="00CA400C" w:rsidRDefault="00F34AEC" w:rsidP="00C171FB"/>
    <w:p w14:paraId="57CE8BF1" w14:textId="77777777" w:rsidR="00F34AEC" w:rsidRPr="00CA400C" w:rsidRDefault="00F34AEC" w:rsidP="00C7508A">
      <w:pPr>
        <w:rPr>
          <w:b/>
        </w:rPr>
      </w:pPr>
      <w:r w:rsidRPr="00CA400C">
        <w:rPr>
          <w:b/>
        </w:rPr>
        <w:t>(b) If yes, what is the Applicant(s) name that you are acting on behalf of?</w:t>
      </w:r>
    </w:p>
    <w:p w14:paraId="29DB6EF9" w14:textId="77777777" w:rsidR="00F34AEC" w:rsidRPr="00CA400C" w:rsidRDefault="00F34AEC" w:rsidP="00F34AEC">
      <w:pPr>
        <w:ind w:left="284"/>
        <w:rPr>
          <w:noProof/>
        </w:rPr>
      </w:pPr>
      <w:r w:rsidRPr="00CA400C">
        <w:rPr>
          <w:noProof/>
        </w:rPr>
        <w:t>Insert relevant Applicant(s) name here.</w:t>
      </w:r>
    </w:p>
    <w:p w14:paraId="623D18CD" w14:textId="77777777" w:rsidR="00F34AEC" w:rsidRPr="00CA400C" w:rsidRDefault="00F34AEC" w:rsidP="00C171FB"/>
    <w:p w14:paraId="5CED6236" w14:textId="77777777" w:rsidR="00534C5F" w:rsidRPr="00CA400C" w:rsidRDefault="00494011" w:rsidP="004A0BF4">
      <w:pPr>
        <w:pStyle w:val="Heading2"/>
      </w:pPr>
      <w:r w:rsidRPr="00CA400C">
        <w:t xml:space="preserve">(a) </w:t>
      </w:r>
      <w:r w:rsidR="00534C5F" w:rsidRPr="00CA400C">
        <w:t>Are you a lobbyist acting on behalf of an Applicant?</w:t>
      </w:r>
    </w:p>
    <w:p w14:paraId="19DDA77B" w14:textId="77777777" w:rsidR="00A6491A" w:rsidRPr="00CA400C" w:rsidRDefault="00A6491A" w:rsidP="00A6491A">
      <w:pPr>
        <w:spacing w:before="0" w:after="0"/>
        <w:ind w:left="426"/>
        <w:rPr>
          <w:szCs w:val="20"/>
        </w:rPr>
      </w:pPr>
      <w:r w:rsidRPr="00CA400C">
        <w:rPr>
          <w:szCs w:val="20"/>
        </w:rPr>
        <w:fldChar w:fldCharType="begin">
          <w:ffData>
            <w:name w:val="Check1"/>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Pr="00CA400C">
        <w:rPr>
          <w:szCs w:val="20"/>
        </w:rPr>
        <w:t xml:space="preserve"> Yes</w:t>
      </w:r>
    </w:p>
    <w:p w14:paraId="676EE8CE" w14:textId="77777777" w:rsidR="00A6491A" w:rsidRPr="00CA400C" w:rsidRDefault="00103328" w:rsidP="00A6491A">
      <w:pPr>
        <w:spacing w:before="0" w:after="0"/>
        <w:ind w:left="426"/>
        <w:rPr>
          <w:szCs w:val="20"/>
        </w:rPr>
      </w:pPr>
      <w:r w:rsidRPr="00CA400C">
        <w:rPr>
          <w:szCs w:val="20"/>
        </w:rPr>
        <w:fldChar w:fldCharType="begin">
          <w:ffData>
            <w:name w:val=""/>
            <w:enabled/>
            <w:calcOnExit w:val="0"/>
            <w:checkBox>
              <w:sizeAuto/>
              <w:default w:val="1"/>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00A6491A" w:rsidRPr="00CA400C">
        <w:rPr>
          <w:szCs w:val="20"/>
        </w:rPr>
        <w:t xml:space="preserve"> No  </w:t>
      </w:r>
    </w:p>
    <w:p w14:paraId="24E61FD9" w14:textId="77777777" w:rsidR="00534C5F" w:rsidRPr="00CA400C" w:rsidRDefault="00534C5F" w:rsidP="00494011">
      <w:pPr>
        <w:pStyle w:val="Heading2"/>
        <w:numPr>
          <w:ilvl w:val="0"/>
          <w:numId w:val="23"/>
        </w:numPr>
      </w:pPr>
      <w:r w:rsidRPr="00CA400C">
        <w:t>If yes, are you listed on the Register of Lobbyists?</w:t>
      </w:r>
    </w:p>
    <w:p w14:paraId="2B6088B9" w14:textId="77777777" w:rsidR="00A6491A" w:rsidRPr="00CA400C" w:rsidRDefault="00A6491A" w:rsidP="00A6491A">
      <w:pPr>
        <w:spacing w:before="0" w:after="0"/>
        <w:ind w:left="426"/>
        <w:rPr>
          <w:szCs w:val="20"/>
        </w:rPr>
      </w:pPr>
      <w:r w:rsidRPr="00CA400C">
        <w:rPr>
          <w:szCs w:val="20"/>
        </w:rPr>
        <w:fldChar w:fldCharType="begin">
          <w:ffData>
            <w:name w:val="Check1"/>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Pr="00CA400C">
        <w:rPr>
          <w:szCs w:val="20"/>
        </w:rPr>
        <w:t xml:space="preserve"> Yes</w:t>
      </w:r>
    </w:p>
    <w:p w14:paraId="3169E039" w14:textId="77777777" w:rsidR="00A6491A" w:rsidRPr="00CA400C" w:rsidRDefault="00A6491A" w:rsidP="00A6491A">
      <w:pPr>
        <w:spacing w:before="0" w:after="0"/>
        <w:ind w:left="426"/>
        <w:rPr>
          <w:szCs w:val="20"/>
        </w:rPr>
      </w:pPr>
      <w:r w:rsidRPr="00CA400C">
        <w:rPr>
          <w:szCs w:val="20"/>
        </w:rPr>
        <w:fldChar w:fldCharType="begin">
          <w:ffData>
            <w:name w:val="Check2"/>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Pr="00CA400C">
        <w:rPr>
          <w:szCs w:val="20"/>
        </w:rPr>
        <w:t xml:space="preserve"> No  </w:t>
      </w:r>
    </w:p>
    <w:p w14:paraId="45CBBB54" w14:textId="77777777" w:rsidR="00E04FB3" w:rsidRPr="00CA400C" w:rsidRDefault="00E04FB3" w:rsidP="005C333E">
      <w:pPr>
        <w:spacing w:before="0" w:after="0"/>
        <w:ind w:left="426"/>
        <w:rPr>
          <w:b/>
          <w:szCs w:val="20"/>
        </w:rPr>
      </w:pPr>
      <w:r w:rsidRPr="00CA400C">
        <w:rPr>
          <w:b/>
          <w:szCs w:val="20"/>
        </w:rPr>
        <w:br w:type="page"/>
      </w:r>
    </w:p>
    <w:p w14:paraId="33DE7070" w14:textId="77777777" w:rsidR="00D57F88" w:rsidRPr="00CA400C" w:rsidRDefault="00730C04" w:rsidP="00A8732C">
      <w:pPr>
        <w:pStyle w:val="Heading1"/>
      </w:pPr>
      <w:r w:rsidRPr="00CA400C">
        <w:lastRenderedPageBreak/>
        <w:t>PART 2</w:t>
      </w:r>
      <w:r w:rsidR="00F93784" w:rsidRPr="00CA400C">
        <w:t xml:space="preserve"> – </w:t>
      </w:r>
      <w:r w:rsidR="00E04FB3" w:rsidRPr="00CA400C">
        <w:t>INFORMATION ABOUT THE PROPOSED MEDICAL SERVICE</w:t>
      </w:r>
    </w:p>
    <w:p w14:paraId="778C5A3E" w14:textId="77777777" w:rsidR="000B3CD0" w:rsidRPr="00CA400C" w:rsidRDefault="000B3CD0" w:rsidP="00730C04">
      <w:pPr>
        <w:pStyle w:val="Heading2"/>
      </w:pPr>
      <w:r w:rsidRPr="00CA400C">
        <w:t>Application title</w:t>
      </w:r>
      <w:r w:rsidR="00A8732C" w:rsidRPr="00CA400C">
        <w:t xml:space="preserve"> </w:t>
      </w:r>
    </w:p>
    <w:p w14:paraId="5E6EE965" w14:textId="670AAAA6" w:rsidR="008764E9" w:rsidRPr="00CA400C" w:rsidRDefault="008764E9" w:rsidP="00A6491A">
      <w:pPr>
        <w:ind w:left="284"/>
      </w:pPr>
      <w:r w:rsidRPr="00CA400C">
        <w:t>Programmed cell death ligand</w:t>
      </w:r>
      <w:r w:rsidR="00B25D32" w:rsidRPr="00CA400C">
        <w:noBreakHyphen/>
      </w:r>
      <w:r w:rsidRPr="00CA400C">
        <w:t>1 (PD</w:t>
      </w:r>
      <w:r w:rsidR="00B25D32" w:rsidRPr="00CA400C">
        <w:noBreakHyphen/>
      </w:r>
      <w:r w:rsidRPr="00CA400C">
        <w:t xml:space="preserve">L1) testing in recurrent or metastatic squamous cell carcinoma of the head and neck (SCCHN) to determine eligibility for </w:t>
      </w:r>
      <w:proofErr w:type="spellStart"/>
      <w:r w:rsidRPr="00CA400C">
        <w:t>durvalumab</w:t>
      </w:r>
      <w:proofErr w:type="spellEnd"/>
      <w:r w:rsidRPr="00CA400C">
        <w:t xml:space="preserve"> monotherapy or </w:t>
      </w:r>
      <w:proofErr w:type="spellStart"/>
      <w:r w:rsidRPr="00CA400C">
        <w:t>durvalumab</w:t>
      </w:r>
      <w:proofErr w:type="spellEnd"/>
      <w:r w:rsidRPr="00CA400C">
        <w:t>/</w:t>
      </w:r>
      <w:proofErr w:type="spellStart"/>
      <w:r w:rsidRPr="00CA400C">
        <w:t>tremelimumab</w:t>
      </w:r>
      <w:proofErr w:type="spellEnd"/>
      <w:r w:rsidRPr="00CA400C">
        <w:t xml:space="preserve"> combination therapy (co</w:t>
      </w:r>
      <w:r w:rsidR="00B25D32" w:rsidRPr="00CA400C">
        <w:noBreakHyphen/>
      </w:r>
      <w:r w:rsidRPr="00CA400C">
        <w:t>dependent).</w:t>
      </w:r>
    </w:p>
    <w:p w14:paraId="5FFC9EAE" w14:textId="77777777" w:rsidR="009B4E1E" w:rsidRPr="00CA400C" w:rsidRDefault="009B4E1E" w:rsidP="004A0BF4">
      <w:pPr>
        <w:pStyle w:val="Heading2"/>
      </w:pPr>
      <w:r w:rsidRPr="00CA400C">
        <w:t>Provide a succinct description of the medical condition relevant to the proposed service</w:t>
      </w:r>
      <w:r w:rsidR="000955E7" w:rsidRPr="00CA400C">
        <w:t xml:space="preserve"> (no more than 150 words</w:t>
      </w:r>
      <w:r w:rsidR="00F93784" w:rsidRPr="00CA400C">
        <w:t xml:space="preserve"> – </w:t>
      </w:r>
      <w:r w:rsidR="00C847AE" w:rsidRPr="00CA400C">
        <w:t>further</w:t>
      </w:r>
      <w:r w:rsidR="00F93784" w:rsidRPr="00CA400C">
        <w:t xml:space="preserve"> information will be </w:t>
      </w:r>
      <w:r w:rsidR="00C847AE" w:rsidRPr="00CA400C">
        <w:t xml:space="preserve">requested </w:t>
      </w:r>
      <w:r w:rsidR="00CB01DF" w:rsidRPr="00CA400C">
        <w:t>at Part 6</w:t>
      </w:r>
      <w:r w:rsidR="00C847AE" w:rsidRPr="00CA400C">
        <w:t xml:space="preserve"> of the Application Form</w:t>
      </w:r>
      <w:r w:rsidR="000955E7" w:rsidRPr="00CA400C">
        <w:t>)</w:t>
      </w:r>
    </w:p>
    <w:p w14:paraId="796074FD" w14:textId="09DF6CCA" w:rsidR="007B3021" w:rsidRPr="00CA400C" w:rsidRDefault="00002EE6" w:rsidP="00002EE6">
      <w:pPr>
        <w:ind w:left="284"/>
      </w:pPr>
      <w:r w:rsidRPr="00CA400C">
        <w:t xml:space="preserve">SCCHN is a form of cancer arising from the squamous cells of various structures including the mouth, tongue, pharynx, larynx and oesophagus. It is associated with smoking, alcohol consumption and poor oral health. </w:t>
      </w:r>
      <w:r w:rsidR="007B3021" w:rsidRPr="00CA400C">
        <w:t>In recent years, human papilloma virus (HPV) has also been identified as a cause of SCCHN. HPV</w:t>
      </w:r>
      <w:r w:rsidR="00B25D32" w:rsidRPr="00CA400C">
        <w:noBreakHyphen/>
      </w:r>
      <w:r w:rsidR="007B3021" w:rsidRPr="00CA400C">
        <w:t>related cases are steadily increasing in prevalence. Patients with HPV</w:t>
      </w:r>
      <w:r w:rsidR="00B25D32" w:rsidRPr="00CA400C">
        <w:noBreakHyphen/>
      </w:r>
      <w:r w:rsidR="007B3021" w:rsidRPr="00CA400C">
        <w:t>related SCCHN tend to be younger and have a better prognosis than those whose cancers have other causes.</w:t>
      </w:r>
    </w:p>
    <w:p w14:paraId="047510D0" w14:textId="7F1C074B" w:rsidR="002C3345" w:rsidRPr="00CA400C" w:rsidRDefault="00002EE6" w:rsidP="00002EE6">
      <w:pPr>
        <w:ind w:left="284"/>
      </w:pPr>
      <w:r w:rsidRPr="00CA400C">
        <w:t xml:space="preserve">SCCHN can be disfiguring, particularly </w:t>
      </w:r>
      <w:r w:rsidR="00E54439" w:rsidRPr="00CA400C">
        <w:t>in</w:t>
      </w:r>
      <w:r w:rsidRPr="00CA400C">
        <w:t xml:space="preserve"> advanced</w:t>
      </w:r>
      <w:r w:rsidR="00E54439" w:rsidRPr="00CA400C">
        <w:t xml:space="preserve"> disease</w:t>
      </w:r>
      <w:r w:rsidRPr="00CA400C">
        <w:t>. Surgery and radiotherapy offer the best options for treatment, but surgery can be complicated because of the location of the tumours, and may require partial neck dissection which can leave significant scarring.</w:t>
      </w:r>
      <w:r w:rsidR="00386542" w:rsidRPr="00CA400C">
        <w:t xml:space="preserve"> In the case of recurrent tumours, multiple surgeries and radiotherapies can be contraindicated.</w:t>
      </w:r>
      <w:r w:rsidRPr="00CA400C">
        <w:t xml:space="preserve"> Because of this, medical treatments are sometimes the </w:t>
      </w:r>
      <w:r w:rsidR="00CB01DF" w:rsidRPr="00CA400C">
        <w:t>preferred</w:t>
      </w:r>
      <w:r w:rsidRPr="00CA400C">
        <w:t xml:space="preserve"> option</w:t>
      </w:r>
      <w:r w:rsidR="00E54439" w:rsidRPr="00CA400C">
        <w:t xml:space="preserve"> in recurrent or metastatic SCCHN</w:t>
      </w:r>
      <w:r w:rsidRPr="00CA400C">
        <w:t>.</w:t>
      </w:r>
      <w:r w:rsidR="007B3021" w:rsidRPr="00CA400C">
        <w:t xml:space="preserve"> </w:t>
      </w:r>
    </w:p>
    <w:p w14:paraId="5BB4CE94" w14:textId="77777777" w:rsidR="000955E7" w:rsidRPr="00CA400C" w:rsidRDefault="000955E7" w:rsidP="004A0BF4">
      <w:pPr>
        <w:pStyle w:val="Heading2"/>
      </w:pPr>
      <w:r w:rsidRPr="00CA400C">
        <w:t>Prov</w:t>
      </w:r>
      <w:r w:rsidR="00D11EB1" w:rsidRPr="00CA400C">
        <w:t>i</w:t>
      </w:r>
      <w:r w:rsidRPr="00CA400C">
        <w:t>de a succinct description of the proposed medical service (no more than 150 words</w:t>
      </w:r>
      <w:r w:rsidR="00C847AE" w:rsidRPr="00CA400C">
        <w:t xml:space="preserve"> </w:t>
      </w:r>
      <w:r w:rsidR="00F93784" w:rsidRPr="00CA400C">
        <w:t xml:space="preserve">– </w:t>
      </w:r>
      <w:r w:rsidR="00C847AE" w:rsidRPr="00CA400C">
        <w:t>further</w:t>
      </w:r>
      <w:r w:rsidR="00F93784" w:rsidRPr="00CA400C">
        <w:t xml:space="preserve"> information will be </w:t>
      </w:r>
      <w:r w:rsidR="00C847AE" w:rsidRPr="00CA400C">
        <w:t>requested</w:t>
      </w:r>
      <w:r w:rsidR="00F93784" w:rsidRPr="00CA400C">
        <w:t xml:space="preserve"> </w:t>
      </w:r>
      <w:r w:rsidR="00883641" w:rsidRPr="00CA400C">
        <w:t>at</w:t>
      </w:r>
      <w:r w:rsidR="00C847AE" w:rsidRPr="00CA400C">
        <w:t xml:space="preserve"> </w:t>
      </w:r>
      <w:r w:rsidR="00026412" w:rsidRPr="00CA400C">
        <w:t>Part 6</w:t>
      </w:r>
      <w:r w:rsidR="00C847AE" w:rsidRPr="00CA400C">
        <w:t xml:space="preserve"> of the Application Form</w:t>
      </w:r>
      <w:r w:rsidRPr="00CA400C">
        <w:t>)</w:t>
      </w:r>
    </w:p>
    <w:p w14:paraId="589D18DC" w14:textId="0FEB50FD" w:rsidR="00CB12EC" w:rsidRPr="00CA400C" w:rsidRDefault="00DD518B" w:rsidP="00A6491A">
      <w:pPr>
        <w:ind w:left="284"/>
      </w:pPr>
      <w:r w:rsidRPr="00CA400C">
        <w:t>By expressing</w:t>
      </w:r>
      <w:r w:rsidR="000823FF" w:rsidRPr="00CA400C">
        <w:t xml:space="preserve"> programmed cell death ligand</w:t>
      </w:r>
      <w:r w:rsidR="00B25D32" w:rsidRPr="00CA400C">
        <w:noBreakHyphen/>
      </w:r>
      <w:r w:rsidR="000823FF" w:rsidRPr="00CA400C">
        <w:t>1 (PD</w:t>
      </w:r>
      <w:r w:rsidR="00B25D32" w:rsidRPr="00CA400C">
        <w:noBreakHyphen/>
      </w:r>
      <w:r w:rsidR="000823FF" w:rsidRPr="00CA400C">
        <w:t xml:space="preserve">L1) on its surface, a tumour cell can evade detection and destruction by the body’s innate immune system. </w:t>
      </w:r>
      <w:r w:rsidR="008A29CB" w:rsidRPr="00CA400C">
        <w:t>PD</w:t>
      </w:r>
      <w:r w:rsidR="008A29CB" w:rsidRPr="00CA400C">
        <w:noBreakHyphen/>
        <w:t>L1 expression exists on a spectrum</w:t>
      </w:r>
      <w:r w:rsidRPr="00CA400C">
        <w:t xml:space="preserve"> ranging</w:t>
      </w:r>
      <w:r w:rsidR="008A29CB" w:rsidRPr="00CA400C">
        <w:t xml:space="preserve"> from not detectable to (theoretically) 100% expression. </w:t>
      </w:r>
      <w:r w:rsidR="00F22F4D" w:rsidRPr="00CA400C">
        <w:t>A</w:t>
      </w:r>
      <w:r w:rsidR="00C31CFE" w:rsidRPr="00CA400C">
        <w:t xml:space="preserve"> PD</w:t>
      </w:r>
      <w:r w:rsidR="00B25D32" w:rsidRPr="00CA400C">
        <w:noBreakHyphen/>
      </w:r>
      <w:r w:rsidR="00C31CFE" w:rsidRPr="00CA400C">
        <w:t xml:space="preserve">L1 test involves taking a biopsy of the tumour and performing an </w:t>
      </w:r>
      <w:proofErr w:type="spellStart"/>
      <w:r w:rsidR="00C31CFE" w:rsidRPr="00CA400C">
        <w:t>immunohistochemical</w:t>
      </w:r>
      <w:proofErr w:type="spellEnd"/>
      <w:r w:rsidR="00C31CFE" w:rsidRPr="00CA400C">
        <w:t xml:space="preserve"> </w:t>
      </w:r>
      <w:r w:rsidR="005F7FB9" w:rsidRPr="00CA400C">
        <w:t xml:space="preserve">(IHC) </w:t>
      </w:r>
      <w:r w:rsidR="00C31CFE" w:rsidRPr="00CA400C">
        <w:t xml:space="preserve">assay to detect the </w:t>
      </w:r>
      <w:r w:rsidR="004F20B5" w:rsidRPr="00CA400C">
        <w:t>percentage</w:t>
      </w:r>
      <w:r w:rsidR="00C31CFE" w:rsidRPr="00CA400C">
        <w:t xml:space="preserve"> of PD</w:t>
      </w:r>
      <w:r w:rsidR="00B25D32" w:rsidRPr="00CA400C">
        <w:noBreakHyphen/>
      </w:r>
      <w:r w:rsidR="00C31CFE" w:rsidRPr="00CA400C">
        <w:t xml:space="preserve">L1 expression within a </w:t>
      </w:r>
      <w:r w:rsidR="00282E01" w:rsidRPr="00CA400C">
        <w:t>tumour</w:t>
      </w:r>
      <w:r w:rsidR="004F20B5" w:rsidRPr="00CA400C">
        <w:t>, measured as a total proportion score (TPS)</w:t>
      </w:r>
      <w:r w:rsidR="00C31CFE" w:rsidRPr="00CA400C">
        <w:t xml:space="preserve">. </w:t>
      </w:r>
    </w:p>
    <w:p w14:paraId="63519C8E" w14:textId="061C5A5C" w:rsidR="008A29CB" w:rsidRPr="00CA400C" w:rsidRDefault="008A29CB" w:rsidP="00A6491A">
      <w:pPr>
        <w:ind w:left="284"/>
      </w:pPr>
      <w:r w:rsidRPr="00CA400C">
        <w:t xml:space="preserve">This application requests MBS listing of PD-L1 testing </w:t>
      </w:r>
      <w:r w:rsidR="00E54439" w:rsidRPr="00CA400C">
        <w:t>to</w:t>
      </w:r>
      <w:r w:rsidRPr="00CA400C">
        <w:t xml:space="preserve"> direct </w:t>
      </w:r>
      <w:r w:rsidR="00E54439" w:rsidRPr="00CA400C">
        <w:t>treatment</w:t>
      </w:r>
      <w:r w:rsidRPr="00CA400C">
        <w:t xml:space="preserve"> to either monotherapy with the PD-L1 inhibitor </w:t>
      </w:r>
      <w:proofErr w:type="spellStart"/>
      <w:r w:rsidRPr="00CA400C">
        <w:t>durvalumab</w:t>
      </w:r>
      <w:proofErr w:type="spellEnd"/>
      <w:r w:rsidRPr="00CA400C">
        <w:t xml:space="preserve">, or combination therapy with </w:t>
      </w:r>
      <w:proofErr w:type="spellStart"/>
      <w:r w:rsidRPr="00CA400C">
        <w:t>durvalumab</w:t>
      </w:r>
      <w:proofErr w:type="spellEnd"/>
      <w:r w:rsidRPr="00CA400C">
        <w:t xml:space="preserve"> and </w:t>
      </w:r>
      <w:proofErr w:type="spellStart"/>
      <w:r w:rsidRPr="00CA400C">
        <w:t>tremelimumab</w:t>
      </w:r>
      <w:proofErr w:type="spellEnd"/>
      <w:r w:rsidRPr="00CA400C">
        <w:t xml:space="preserve">, a CTLA-4 inhibitor, in patients with unresectable recurrent or metastatic SCCHN. Although trials are ongoing, it is expected that patients with a higher (≥25%) PD-L1 expression rate will benefit from monotherapy, while those with a lower (&lt;25%) expression rate will benefit more from combination therapy. </w:t>
      </w:r>
      <w:r w:rsidR="00E54439" w:rsidRPr="00CA400C">
        <w:t xml:space="preserve">Co-dependent PBAC/MSAC submissions </w:t>
      </w:r>
      <w:r w:rsidR="001A15E9" w:rsidRPr="00CA400C">
        <w:t>are expected to</w:t>
      </w:r>
      <w:r w:rsidR="00E54439" w:rsidRPr="00CA400C">
        <w:t xml:space="preserve"> follow this application.</w:t>
      </w:r>
    </w:p>
    <w:p w14:paraId="3F1B418B" w14:textId="6A373B71" w:rsidR="00D11EB1" w:rsidRPr="00CA400C" w:rsidRDefault="009D441B" w:rsidP="004A0BF4">
      <w:pPr>
        <w:pStyle w:val="Heading2"/>
        <w:rPr>
          <w:rStyle w:val="Strong"/>
          <w:rFonts w:asciiTheme="minorHAnsi" w:eastAsiaTheme="minorHAnsi" w:hAnsiTheme="minorHAnsi" w:cstheme="minorBidi"/>
          <w:b/>
        </w:rPr>
      </w:pPr>
      <w:r w:rsidRPr="00CA400C">
        <w:rPr>
          <w:rStyle w:val="Strong"/>
          <w:rFonts w:asciiTheme="minorHAnsi" w:eastAsiaTheme="minorHAnsi" w:hAnsiTheme="minorHAnsi" w:cstheme="minorBidi"/>
          <w:b/>
        </w:rPr>
        <w:t xml:space="preserve"> </w:t>
      </w:r>
      <w:r w:rsidR="00730C04" w:rsidRPr="00CA400C">
        <w:rPr>
          <w:rStyle w:val="Strong"/>
          <w:rFonts w:asciiTheme="minorHAnsi" w:eastAsiaTheme="minorHAnsi" w:hAnsiTheme="minorHAnsi" w:cstheme="minorBidi"/>
          <w:b/>
        </w:rPr>
        <w:t xml:space="preserve">(a) </w:t>
      </w:r>
      <w:r w:rsidR="00D11EB1" w:rsidRPr="00CA400C">
        <w:rPr>
          <w:rStyle w:val="Strong"/>
          <w:rFonts w:asciiTheme="minorHAnsi" w:eastAsiaTheme="minorHAnsi" w:hAnsiTheme="minorHAnsi" w:cstheme="minorBidi"/>
          <w:b/>
        </w:rPr>
        <w:t>Is this a request for MBS funding?</w:t>
      </w:r>
    </w:p>
    <w:p w14:paraId="13AE5A2D" w14:textId="77777777" w:rsidR="00753C44" w:rsidRPr="00CA400C" w:rsidRDefault="00103328" w:rsidP="00A6491A">
      <w:pPr>
        <w:spacing w:before="0" w:after="0"/>
        <w:ind w:left="284"/>
        <w:rPr>
          <w:szCs w:val="20"/>
        </w:rPr>
      </w:pPr>
      <w:r w:rsidRPr="00CA400C">
        <w:rPr>
          <w:szCs w:val="20"/>
        </w:rPr>
        <w:fldChar w:fldCharType="begin">
          <w:ffData>
            <w:name w:val="Check1"/>
            <w:enabled/>
            <w:calcOnExit w:val="0"/>
            <w:checkBox>
              <w:sizeAuto/>
              <w:default w:val="1"/>
            </w:checkBox>
          </w:ffData>
        </w:fldChar>
      </w:r>
      <w:bookmarkStart w:id="2" w:name="Check1"/>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bookmarkEnd w:id="2"/>
      <w:r w:rsidR="006B6390" w:rsidRPr="00CA400C">
        <w:rPr>
          <w:szCs w:val="20"/>
        </w:rPr>
        <w:t xml:space="preserve"> Yes</w:t>
      </w:r>
    </w:p>
    <w:p w14:paraId="22C61A4F" w14:textId="77777777" w:rsidR="00753C44" w:rsidRPr="00CA400C" w:rsidRDefault="006B6390" w:rsidP="00A6491A">
      <w:pPr>
        <w:spacing w:before="0" w:after="0"/>
        <w:ind w:left="284"/>
        <w:rPr>
          <w:szCs w:val="20"/>
        </w:rPr>
      </w:pPr>
      <w:r w:rsidRPr="00CA400C">
        <w:rPr>
          <w:szCs w:val="20"/>
        </w:rPr>
        <w:fldChar w:fldCharType="begin">
          <w:ffData>
            <w:name w:val="Check2"/>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Pr="00CA400C">
        <w:rPr>
          <w:szCs w:val="20"/>
        </w:rPr>
        <w:t xml:space="preserve"> No</w:t>
      </w:r>
      <w:r w:rsidR="00753C44" w:rsidRPr="00CA400C">
        <w:rPr>
          <w:szCs w:val="20"/>
        </w:rPr>
        <w:t xml:space="preserve">  </w:t>
      </w:r>
    </w:p>
    <w:p w14:paraId="24EC17C0" w14:textId="77777777" w:rsidR="000B3CD0" w:rsidRPr="00CA400C" w:rsidRDefault="000B3CD0" w:rsidP="00730C04">
      <w:pPr>
        <w:pStyle w:val="Heading2"/>
        <w:numPr>
          <w:ilvl w:val="0"/>
          <w:numId w:val="24"/>
        </w:numPr>
        <w:rPr>
          <w:rStyle w:val="Strong"/>
          <w:rFonts w:asciiTheme="minorHAnsi" w:eastAsiaTheme="minorHAnsi" w:hAnsiTheme="minorHAnsi" w:cstheme="minorBidi"/>
          <w:b/>
        </w:rPr>
      </w:pPr>
      <w:r w:rsidRPr="00CA400C">
        <w:rPr>
          <w:rStyle w:val="Strong"/>
          <w:rFonts w:asciiTheme="minorHAnsi" w:eastAsiaTheme="minorHAnsi" w:hAnsiTheme="minorHAnsi" w:cstheme="minorBidi"/>
          <w:b/>
        </w:rPr>
        <w:t>I</w:t>
      </w:r>
      <w:r w:rsidR="003020B5" w:rsidRPr="00CA400C">
        <w:rPr>
          <w:rStyle w:val="Strong"/>
          <w:rFonts w:asciiTheme="minorHAnsi" w:eastAsiaTheme="minorHAnsi" w:hAnsiTheme="minorHAnsi" w:cstheme="minorBidi"/>
          <w:b/>
        </w:rPr>
        <w:t xml:space="preserve">f </w:t>
      </w:r>
      <w:r w:rsidR="00D11EB1" w:rsidRPr="00CA400C">
        <w:rPr>
          <w:rStyle w:val="Strong"/>
          <w:rFonts w:asciiTheme="minorHAnsi" w:eastAsiaTheme="minorHAnsi" w:hAnsiTheme="minorHAnsi" w:cstheme="minorBidi"/>
          <w:b/>
        </w:rPr>
        <w:t xml:space="preserve">yes, is </w:t>
      </w:r>
      <w:r w:rsidRPr="00CA400C">
        <w:rPr>
          <w:rStyle w:val="Strong"/>
          <w:rFonts w:asciiTheme="minorHAnsi" w:eastAsiaTheme="minorHAnsi" w:hAnsiTheme="minorHAnsi" w:cstheme="minorBidi"/>
          <w:b/>
        </w:rPr>
        <w:t>the medical service</w:t>
      </w:r>
      <w:r w:rsidR="005D0677" w:rsidRPr="00CA400C">
        <w:rPr>
          <w:rStyle w:val="Strong"/>
          <w:rFonts w:asciiTheme="minorHAnsi" w:eastAsiaTheme="minorHAnsi" w:hAnsiTheme="minorHAnsi" w:cstheme="minorBidi"/>
          <w:b/>
        </w:rPr>
        <w:t>(s)</w:t>
      </w:r>
      <w:r w:rsidRPr="00CA400C">
        <w:rPr>
          <w:rStyle w:val="Strong"/>
          <w:rFonts w:asciiTheme="minorHAnsi" w:eastAsiaTheme="minorHAnsi" w:hAnsiTheme="minorHAnsi" w:cstheme="minorBidi"/>
          <w:b/>
        </w:rPr>
        <w:t xml:space="preserve"> </w:t>
      </w:r>
      <w:r w:rsidR="00F83566" w:rsidRPr="00CA400C">
        <w:rPr>
          <w:rStyle w:val="Strong"/>
          <w:rFonts w:asciiTheme="minorHAnsi" w:eastAsiaTheme="minorHAnsi" w:hAnsiTheme="minorHAnsi" w:cstheme="minorBidi"/>
          <w:b/>
        </w:rPr>
        <w:t xml:space="preserve">proposed to be </w:t>
      </w:r>
      <w:r w:rsidRPr="00CA400C">
        <w:rPr>
          <w:rStyle w:val="Strong"/>
          <w:rFonts w:asciiTheme="minorHAnsi" w:eastAsiaTheme="minorHAnsi" w:hAnsiTheme="minorHAnsi" w:cstheme="minorBidi"/>
          <w:b/>
        </w:rPr>
        <w:t xml:space="preserve">covered under an existing </w:t>
      </w:r>
      <w:r w:rsidR="00F83566" w:rsidRPr="00CA400C">
        <w:rPr>
          <w:rStyle w:val="Strong"/>
          <w:rFonts w:asciiTheme="minorHAnsi" w:eastAsiaTheme="minorHAnsi" w:hAnsiTheme="minorHAnsi" w:cstheme="minorBidi"/>
          <w:b/>
        </w:rPr>
        <w:t>MBS item number</w:t>
      </w:r>
      <w:r w:rsidR="005D0677" w:rsidRPr="00CA400C">
        <w:rPr>
          <w:rStyle w:val="Strong"/>
          <w:rFonts w:asciiTheme="minorHAnsi" w:eastAsiaTheme="minorHAnsi" w:hAnsiTheme="minorHAnsi" w:cstheme="minorBidi"/>
          <w:b/>
        </w:rPr>
        <w:t>(s)</w:t>
      </w:r>
      <w:r w:rsidR="003020B5" w:rsidRPr="00CA400C">
        <w:rPr>
          <w:rStyle w:val="Strong"/>
          <w:rFonts w:asciiTheme="minorHAnsi" w:eastAsiaTheme="minorHAnsi" w:hAnsiTheme="minorHAnsi" w:cstheme="minorBidi"/>
          <w:b/>
        </w:rPr>
        <w:t xml:space="preserve"> or is a new MBS item</w:t>
      </w:r>
      <w:r w:rsidR="005D0677" w:rsidRPr="00CA400C">
        <w:rPr>
          <w:rStyle w:val="Strong"/>
          <w:rFonts w:asciiTheme="minorHAnsi" w:eastAsiaTheme="minorHAnsi" w:hAnsiTheme="minorHAnsi" w:cstheme="minorBidi"/>
          <w:b/>
        </w:rPr>
        <w:t>(s)</w:t>
      </w:r>
      <w:r w:rsidR="003020B5" w:rsidRPr="00CA400C">
        <w:rPr>
          <w:rStyle w:val="Strong"/>
          <w:rFonts w:asciiTheme="minorHAnsi" w:eastAsiaTheme="minorHAnsi" w:hAnsiTheme="minorHAnsi" w:cstheme="minorBidi"/>
          <w:b/>
        </w:rPr>
        <w:t xml:space="preserve"> being sought altogether</w:t>
      </w:r>
      <w:r w:rsidRPr="00CA400C">
        <w:rPr>
          <w:rStyle w:val="Strong"/>
          <w:rFonts w:asciiTheme="minorHAnsi" w:eastAsiaTheme="minorHAnsi" w:hAnsiTheme="minorHAnsi" w:cstheme="minorBidi"/>
          <w:b/>
        </w:rPr>
        <w:t>?</w:t>
      </w:r>
    </w:p>
    <w:p w14:paraId="1057EC6E" w14:textId="77777777" w:rsidR="00753C44" w:rsidRPr="00CA400C" w:rsidRDefault="006B6390" w:rsidP="00A6491A">
      <w:pPr>
        <w:spacing w:before="0" w:after="0"/>
        <w:ind w:left="284"/>
        <w:rPr>
          <w:szCs w:val="20"/>
        </w:rPr>
      </w:pPr>
      <w:r w:rsidRPr="00CA400C">
        <w:rPr>
          <w:szCs w:val="20"/>
        </w:rPr>
        <w:fldChar w:fldCharType="begin">
          <w:ffData>
            <w:name w:val="Check2"/>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Pr="00CA400C">
        <w:rPr>
          <w:szCs w:val="20"/>
        </w:rPr>
        <w:t xml:space="preserve"> </w:t>
      </w:r>
      <w:r w:rsidR="00753C44" w:rsidRPr="00CA400C">
        <w:rPr>
          <w:szCs w:val="20"/>
        </w:rPr>
        <w:t>Amendment to existing MBS item(s)</w:t>
      </w:r>
    </w:p>
    <w:p w14:paraId="1815FCF9" w14:textId="77777777" w:rsidR="00753C44" w:rsidRPr="00CA400C" w:rsidRDefault="00103328" w:rsidP="00A6491A">
      <w:pPr>
        <w:spacing w:before="0" w:after="0"/>
        <w:ind w:left="284"/>
        <w:rPr>
          <w:szCs w:val="20"/>
        </w:rPr>
      </w:pPr>
      <w:r w:rsidRPr="00CA400C">
        <w:rPr>
          <w:szCs w:val="20"/>
        </w:rPr>
        <w:fldChar w:fldCharType="begin">
          <w:ffData>
            <w:name w:val=""/>
            <w:enabled/>
            <w:calcOnExit w:val="0"/>
            <w:checkBox>
              <w:sizeAuto/>
              <w:default w:val="1"/>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006B6390" w:rsidRPr="00CA400C">
        <w:rPr>
          <w:szCs w:val="20"/>
        </w:rPr>
        <w:t xml:space="preserve"> </w:t>
      </w:r>
      <w:r w:rsidR="00753C44" w:rsidRPr="00CA400C">
        <w:rPr>
          <w:szCs w:val="20"/>
        </w:rPr>
        <w:t>New MBS item(s)</w:t>
      </w:r>
    </w:p>
    <w:p w14:paraId="1E969B19" w14:textId="77777777" w:rsidR="005F7FB9" w:rsidRPr="00CA400C" w:rsidRDefault="005F7FB9" w:rsidP="00A6491A">
      <w:pPr>
        <w:spacing w:before="0" w:after="0"/>
        <w:ind w:left="284"/>
        <w:rPr>
          <w:szCs w:val="20"/>
        </w:rPr>
      </w:pPr>
    </w:p>
    <w:p w14:paraId="12C8E23B" w14:textId="7337E948" w:rsidR="00C31CFE" w:rsidRPr="00CA400C" w:rsidRDefault="00C31CFE" w:rsidP="00A6491A">
      <w:pPr>
        <w:spacing w:before="0" w:after="0"/>
        <w:ind w:left="284"/>
        <w:rPr>
          <w:szCs w:val="20"/>
        </w:rPr>
      </w:pPr>
      <w:r w:rsidRPr="00CA400C">
        <w:rPr>
          <w:szCs w:val="20"/>
        </w:rPr>
        <w:t>Although MBS item codes for IHC testing already exist, none are specific to PD</w:t>
      </w:r>
      <w:r w:rsidR="00B25D32" w:rsidRPr="00CA400C">
        <w:rPr>
          <w:szCs w:val="20"/>
        </w:rPr>
        <w:noBreakHyphen/>
      </w:r>
      <w:r w:rsidRPr="00CA400C">
        <w:rPr>
          <w:szCs w:val="20"/>
        </w:rPr>
        <w:t xml:space="preserve">L1 testing for the purposes of directing </w:t>
      </w:r>
      <w:proofErr w:type="spellStart"/>
      <w:r w:rsidRPr="00CA400C">
        <w:rPr>
          <w:szCs w:val="20"/>
        </w:rPr>
        <w:t>durvalumab</w:t>
      </w:r>
      <w:proofErr w:type="spellEnd"/>
      <w:r w:rsidRPr="00CA400C">
        <w:rPr>
          <w:szCs w:val="20"/>
        </w:rPr>
        <w:t xml:space="preserve"> and </w:t>
      </w:r>
      <w:proofErr w:type="spellStart"/>
      <w:r w:rsidRPr="00CA400C">
        <w:rPr>
          <w:szCs w:val="20"/>
        </w:rPr>
        <w:t>tremelimumab</w:t>
      </w:r>
      <w:proofErr w:type="spellEnd"/>
      <w:r w:rsidRPr="00CA400C">
        <w:rPr>
          <w:szCs w:val="20"/>
        </w:rPr>
        <w:t xml:space="preserve"> therapy. A</w:t>
      </w:r>
      <w:r w:rsidR="005F7FB9" w:rsidRPr="00CA400C">
        <w:rPr>
          <w:szCs w:val="20"/>
        </w:rPr>
        <w:t>t</w:t>
      </w:r>
      <w:r w:rsidRPr="00CA400C">
        <w:rPr>
          <w:szCs w:val="20"/>
        </w:rPr>
        <w:t xml:space="preserve"> the time of writing, the Sponsor is not aware of any other applications t</w:t>
      </w:r>
      <w:r w:rsidR="005F7FB9" w:rsidRPr="00CA400C">
        <w:rPr>
          <w:szCs w:val="20"/>
        </w:rPr>
        <w:t>o the MSAC for an MBS item code covering PD</w:t>
      </w:r>
      <w:r w:rsidR="00B25D32" w:rsidRPr="00CA400C">
        <w:rPr>
          <w:szCs w:val="20"/>
        </w:rPr>
        <w:noBreakHyphen/>
      </w:r>
      <w:r w:rsidR="005F7FB9" w:rsidRPr="00CA400C">
        <w:rPr>
          <w:szCs w:val="20"/>
        </w:rPr>
        <w:t>L1 testing for the purposes of directing PD</w:t>
      </w:r>
      <w:r w:rsidR="00B25D32" w:rsidRPr="00CA400C">
        <w:rPr>
          <w:szCs w:val="20"/>
        </w:rPr>
        <w:noBreakHyphen/>
      </w:r>
      <w:r w:rsidR="005F7FB9" w:rsidRPr="00CA400C">
        <w:rPr>
          <w:szCs w:val="20"/>
        </w:rPr>
        <w:t xml:space="preserve">L1 inhibitor therapy for recurrent or metastatic SCCHN. Should such an MBS item code be generated before this application is approved, that MBS item code may need to be amended to include access to </w:t>
      </w:r>
      <w:proofErr w:type="spellStart"/>
      <w:r w:rsidR="005F7FB9" w:rsidRPr="00CA400C">
        <w:rPr>
          <w:szCs w:val="20"/>
        </w:rPr>
        <w:t>durvalumab</w:t>
      </w:r>
      <w:proofErr w:type="spellEnd"/>
      <w:r w:rsidR="005F7FB9" w:rsidRPr="00CA400C">
        <w:rPr>
          <w:szCs w:val="20"/>
        </w:rPr>
        <w:t>/</w:t>
      </w:r>
      <w:proofErr w:type="spellStart"/>
      <w:r w:rsidR="005F7FB9" w:rsidRPr="00CA400C">
        <w:rPr>
          <w:szCs w:val="20"/>
        </w:rPr>
        <w:t>tremelimumab</w:t>
      </w:r>
      <w:proofErr w:type="spellEnd"/>
      <w:r w:rsidR="005F7FB9" w:rsidRPr="00CA400C">
        <w:rPr>
          <w:szCs w:val="20"/>
        </w:rPr>
        <w:t>.</w:t>
      </w:r>
    </w:p>
    <w:p w14:paraId="3F9BA43C" w14:textId="77777777" w:rsidR="000B3CD0" w:rsidRPr="00CA400C" w:rsidRDefault="000B3CD0" w:rsidP="00730C04">
      <w:pPr>
        <w:pStyle w:val="Heading2"/>
        <w:numPr>
          <w:ilvl w:val="0"/>
          <w:numId w:val="24"/>
        </w:numPr>
        <w:rPr>
          <w:rStyle w:val="Strong"/>
          <w:rFonts w:asciiTheme="minorHAnsi" w:eastAsiaTheme="minorHAnsi" w:hAnsiTheme="minorHAnsi" w:cstheme="minorBidi"/>
          <w:b/>
        </w:rPr>
      </w:pPr>
      <w:r w:rsidRPr="00CA400C">
        <w:rPr>
          <w:rStyle w:val="Strong"/>
          <w:rFonts w:asciiTheme="minorHAnsi" w:eastAsiaTheme="minorHAnsi" w:hAnsiTheme="minorHAnsi" w:cstheme="minorBidi"/>
          <w:b/>
        </w:rPr>
        <w:t xml:space="preserve">If </w:t>
      </w:r>
      <w:r w:rsidR="00126B33" w:rsidRPr="00CA400C">
        <w:rPr>
          <w:rStyle w:val="Strong"/>
          <w:rFonts w:asciiTheme="minorHAnsi" w:eastAsiaTheme="minorHAnsi" w:hAnsiTheme="minorHAnsi" w:cstheme="minorBidi"/>
          <w:b/>
        </w:rPr>
        <w:t xml:space="preserve">an amendment </w:t>
      </w:r>
      <w:r w:rsidR="003020B5" w:rsidRPr="00CA400C">
        <w:rPr>
          <w:rStyle w:val="Strong"/>
          <w:rFonts w:asciiTheme="minorHAnsi" w:eastAsiaTheme="minorHAnsi" w:hAnsiTheme="minorHAnsi" w:cstheme="minorBidi"/>
          <w:b/>
        </w:rPr>
        <w:t xml:space="preserve">to </w:t>
      </w:r>
      <w:r w:rsidR="00126B33" w:rsidRPr="00CA400C">
        <w:rPr>
          <w:rStyle w:val="Strong"/>
          <w:rFonts w:asciiTheme="minorHAnsi" w:eastAsiaTheme="minorHAnsi" w:hAnsiTheme="minorHAnsi" w:cstheme="minorBidi"/>
          <w:b/>
        </w:rPr>
        <w:t xml:space="preserve">an </w:t>
      </w:r>
      <w:r w:rsidR="003020B5" w:rsidRPr="00CA400C">
        <w:rPr>
          <w:rStyle w:val="Strong"/>
          <w:rFonts w:asciiTheme="minorHAnsi" w:eastAsiaTheme="minorHAnsi" w:hAnsiTheme="minorHAnsi" w:cstheme="minorBidi"/>
          <w:b/>
        </w:rPr>
        <w:t>existing item</w:t>
      </w:r>
      <w:r w:rsidR="005D0677" w:rsidRPr="00CA400C">
        <w:rPr>
          <w:rStyle w:val="Strong"/>
          <w:rFonts w:asciiTheme="minorHAnsi" w:eastAsiaTheme="minorHAnsi" w:hAnsiTheme="minorHAnsi" w:cstheme="minorBidi"/>
          <w:b/>
        </w:rPr>
        <w:t>(s)</w:t>
      </w:r>
      <w:r w:rsidR="00126B33" w:rsidRPr="00CA400C">
        <w:rPr>
          <w:rStyle w:val="Strong"/>
          <w:rFonts w:asciiTheme="minorHAnsi" w:eastAsiaTheme="minorHAnsi" w:hAnsiTheme="minorHAnsi" w:cstheme="minorBidi"/>
          <w:b/>
        </w:rPr>
        <w:t xml:space="preserve"> is being sought</w:t>
      </w:r>
      <w:r w:rsidR="003020B5" w:rsidRPr="00CA400C">
        <w:rPr>
          <w:rStyle w:val="Strong"/>
          <w:rFonts w:asciiTheme="minorHAnsi" w:eastAsiaTheme="minorHAnsi" w:hAnsiTheme="minorHAnsi" w:cstheme="minorBidi"/>
          <w:b/>
        </w:rPr>
        <w:t>,</w:t>
      </w:r>
      <w:r w:rsidRPr="00CA400C">
        <w:rPr>
          <w:rStyle w:val="Strong"/>
          <w:rFonts w:asciiTheme="minorHAnsi" w:eastAsiaTheme="minorHAnsi" w:hAnsiTheme="minorHAnsi" w:cstheme="minorBidi"/>
          <w:b/>
        </w:rPr>
        <w:t xml:space="preserve"> please </w:t>
      </w:r>
      <w:r w:rsidR="00126B33" w:rsidRPr="00CA400C">
        <w:rPr>
          <w:rStyle w:val="Strong"/>
          <w:rFonts w:asciiTheme="minorHAnsi" w:eastAsiaTheme="minorHAnsi" w:hAnsiTheme="minorHAnsi" w:cstheme="minorBidi"/>
          <w:b/>
        </w:rPr>
        <w:t xml:space="preserve">list </w:t>
      </w:r>
      <w:r w:rsidRPr="00CA400C">
        <w:rPr>
          <w:rStyle w:val="Strong"/>
          <w:rFonts w:asciiTheme="minorHAnsi" w:eastAsiaTheme="minorHAnsi" w:hAnsiTheme="minorHAnsi" w:cstheme="minorBidi"/>
          <w:b/>
        </w:rPr>
        <w:t xml:space="preserve">the relevant MBS item number(s) </w:t>
      </w:r>
      <w:r w:rsidR="009C03FB" w:rsidRPr="00CA400C">
        <w:rPr>
          <w:rStyle w:val="Strong"/>
          <w:rFonts w:asciiTheme="minorHAnsi" w:eastAsiaTheme="minorHAnsi" w:hAnsiTheme="minorHAnsi" w:cstheme="minorBidi"/>
          <w:b/>
        </w:rPr>
        <w:t xml:space="preserve">that </w:t>
      </w:r>
      <w:r w:rsidR="00126B33" w:rsidRPr="00CA400C">
        <w:rPr>
          <w:rStyle w:val="Strong"/>
          <w:rFonts w:asciiTheme="minorHAnsi" w:eastAsiaTheme="minorHAnsi" w:hAnsiTheme="minorHAnsi" w:cstheme="minorBidi"/>
          <w:b/>
        </w:rPr>
        <w:t xml:space="preserve">are </w:t>
      </w:r>
      <w:r w:rsidR="005A6AB9" w:rsidRPr="00CA400C">
        <w:rPr>
          <w:rStyle w:val="Strong"/>
          <w:rFonts w:asciiTheme="minorHAnsi" w:eastAsiaTheme="minorHAnsi" w:hAnsiTheme="minorHAnsi" w:cstheme="minorBidi"/>
          <w:b/>
        </w:rPr>
        <w:t xml:space="preserve">to be </w:t>
      </w:r>
      <w:r w:rsidR="00126B33" w:rsidRPr="00CA400C">
        <w:rPr>
          <w:rStyle w:val="Strong"/>
          <w:rFonts w:asciiTheme="minorHAnsi" w:eastAsiaTheme="minorHAnsi" w:hAnsiTheme="minorHAnsi" w:cstheme="minorBidi"/>
          <w:b/>
        </w:rPr>
        <w:t xml:space="preserve">amended </w:t>
      </w:r>
      <w:r w:rsidR="005A6AB9" w:rsidRPr="00CA400C">
        <w:rPr>
          <w:rStyle w:val="Strong"/>
          <w:rFonts w:asciiTheme="minorHAnsi" w:eastAsiaTheme="minorHAnsi" w:hAnsiTheme="minorHAnsi" w:cstheme="minorBidi"/>
          <w:b/>
        </w:rPr>
        <w:t xml:space="preserve">to </w:t>
      </w:r>
      <w:r w:rsidR="00A93F58" w:rsidRPr="00CA400C">
        <w:rPr>
          <w:rStyle w:val="Strong"/>
          <w:rFonts w:asciiTheme="minorHAnsi" w:eastAsiaTheme="minorHAnsi" w:hAnsiTheme="minorHAnsi" w:cstheme="minorBidi"/>
          <w:b/>
        </w:rPr>
        <w:t xml:space="preserve">include </w:t>
      </w:r>
      <w:r w:rsidR="005A6AB9" w:rsidRPr="00CA400C">
        <w:rPr>
          <w:rStyle w:val="Strong"/>
          <w:rFonts w:asciiTheme="minorHAnsi" w:eastAsiaTheme="minorHAnsi" w:hAnsiTheme="minorHAnsi" w:cstheme="minorBidi"/>
          <w:b/>
        </w:rPr>
        <w:t>the proposed medical service</w:t>
      </w:r>
      <w:r w:rsidR="00802553" w:rsidRPr="00CA400C">
        <w:rPr>
          <w:rStyle w:val="Strong"/>
          <w:rFonts w:asciiTheme="minorHAnsi" w:eastAsiaTheme="minorHAnsi" w:hAnsiTheme="minorHAnsi" w:cstheme="minorBidi"/>
          <w:b/>
        </w:rPr>
        <w:t>:</w:t>
      </w:r>
      <w:r w:rsidR="00E06102" w:rsidRPr="00CA400C">
        <w:rPr>
          <w:rStyle w:val="Strong"/>
          <w:rFonts w:asciiTheme="minorHAnsi" w:eastAsiaTheme="minorHAnsi" w:hAnsiTheme="minorHAnsi" w:cstheme="minorBidi"/>
          <w:b/>
        </w:rPr>
        <w:t xml:space="preserve"> </w:t>
      </w:r>
    </w:p>
    <w:p w14:paraId="50F8717B" w14:textId="77777777" w:rsidR="009F4470" w:rsidRPr="00CA400C" w:rsidRDefault="009F4470" w:rsidP="009F4470">
      <w:pPr>
        <w:ind w:left="360"/>
      </w:pPr>
      <w:r w:rsidRPr="00CA400C">
        <w:lastRenderedPageBreak/>
        <w:t>Not currently applicable.</w:t>
      </w:r>
    </w:p>
    <w:p w14:paraId="662653CC" w14:textId="77777777" w:rsidR="006C0843" w:rsidRPr="00CA400C" w:rsidRDefault="006C0843" w:rsidP="00730C04">
      <w:pPr>
        <w:pStyle w:val="Heading2"/>
        <w:numPr>
          <w:ilvl w:val="0"/>
          <w:numId w:val="24"/>
        </w:numPr>
        <w:rPr>
          <w:rStyle w:val="Strong"/>
          <w:rFonts w:asciiTheme="minorHAnsi" w:eastAsiaTheme="minorHAnsi" w:hAnsiTheme="minorHAnsi" w:cstheme="minorBidi"/>
          <w:b/>
        </w:rPr>
      </w:pPr>
      <w:r w:rsidRPr="00CA400C">
        <w:rPr>
          <w:rStyle w:val="Strong"/>
          <w:rFonts w:asciiTheme="minorHAnsi" w:eastAsiaTheme="minorHAnsi" w:hAnsiTheme="minorHAnsi" w:cstheme="minorBidi"/>
          <w:b/>
        </w:rPr>
        <w:t>If an amendment to an existing item</w:t>
      </w:r>
      <w:r w:rsidR="003E30FB" w:rsidRPr="00CA400C">
        <w:rPr>
          <w:rStyle w:val="Strong"/>
          <w:rFonts w:asciiTheme="minorHAnsi" w:eastAsiaTheme="minorHAnsi" w:hAnsiTheme="minorHAnsi" w:cstheme="minorBidi"/>
          <w:b/>
        </w:rPr>
        <w:t>(s)</w:t>
      </w:r>
      <w:r w:rsidRPr="00CA400C">
        <w:rPr>
          <w:rStyle w:val="Strong"/>
          <w:rFonts w:asciiTheme="minorHAnsi" w:eastAsiaTheme="minorHAnsi" w:hAnsiTheme="minorHAnsi" w:cstheme="minorBidi"/>
          <w:b/>
        </w:rPr>
        <w:t xml:space="preserve"> is being sought, what is the nature of the amendment</w:t>
      </w:r>
      <w:r w:rsidR="00C01121" w:rsidRPr="00CA400C">
        <w:rPr>
          <w:rStyle w:val="Strong"/>
          <w:rFonts w:asciiTheme="minorHAnsi" w:eastAsiaTheme="minorHAnsi" w:hAnsiTheme="minorHAnsi" w:cstheme="minorBidi"/>
          <w:b/>
        </w:rPr>
        <w:t>(s)</w:t>
      </w:r>
      <w:r w:rsidR="00E06102" w:rsidRPr="00CA400C">
        <w:rPr>
          <w:rStyle w:val="Strong"/>
          <w:rFonts w:asciiTheme="minorHAnsi" w:eastAsiaTheme="minorHAnsi" w:hAnsiTheme="minorHAnsi" w:cstheme="minorBidi"/>
          <w:b/>
        </w:rPr>
        <w:t>?</w:t>
      </w:r>
    </w:p>
    <w:p w14:paraId="6769AA53" w14:textId="77777777" w:rsidR="002A270B" w:rsidRPr="00CA400C" w:rsidRDefault="002A270B" w:rsidP="004A263B">
      <w:pPr>
        <w:pStyle w:val="ListParagraph"/>
        <w:numPr>
          <w:ilvl w:val="0"/>
          <w:numId w:val="34"/>
        </w:numPr>
        <w:spacing w:before="0" w:after="0"/>
        <w:ind w:left="851" w:hanging="425"/>
        <w:rPr>
          <w:rStyle w:val="Strong"/>
          <w:b w:val="0"/>
        </w:rPr>
      </w:pPr>
      <w:r w:rsidRPr="00CA400C">
        <w:rPr>
          <w:b/>
          <w:szCs w:val="20"/>
        </w:rPr>
        <w:fldChar w:fldCharType="begin">
          <w:ffData>
            <w:name w:val="Check2"/>
            <w:enabled/>
            <w:calcOnExit w:val="0"/>
            <w:checkBox>
              <w:sizeAuto/>
              <w:default w:val="0"/>
            </w:checkBox>
          </w:ffData>
        </w:fldChar>
      </w:r>
      <w:r w:rsidRPr="00CA400C">
        <w:rPr>
          <w:b/>
          <w:szCs w:val="20"/>
        </w:rPr>
        <w:instrText xml:space="preserve"> FORMCHECKBOX </w:instrText>
      </w:r>
      <w:r w:rsidR="00236EB6">
        <w:rPr>
          <w:b/>
          <w:szCs w:val="20"/>
        </w:rPr>
      </w:r>
      <w:r w:rsidR="00236EB6">
        <w:rPr>
          <w:b/>
          <w:szCs w:val="20"/>
        </w:rPr>
        <w:fldChar w:fldCharType="separate"/>
      </w:r>
      <w:r w:rsidRPr="00CA400C">
        <w:rPr>
          <w:b/>
          <w:szCs w:val="20"/>
        </w:rPr>
        <w:fldChar w:fldCharType="end"/>
      </w:r>
      <w:r w:rsidRPr="00CA400C">
        <w:rPr>
          <w:b/>
          <w:szCs w:val="20"/>
        </w:rPr>
        <w:t xml:space="preserve"> </w:t>
      </w:r>
      <w:r w:rsidRPr="00CA400C">
        <w:rPr>
          <w:rStyle w:val="Strong"/>
          <w:b w:val="0"/>
        </w:rPr>
        <w:t>An amendment to the way the service is clinically delivered under the existing item(s)</w:t>
      </w:r>
    </w:p>
    <w:p w14:paraId="5BB81D99" w14:textId="77777777" w:rsidR="002A270B" w:rsidRPr="00CA400C" w:rsidRDefault="002A270B" w:rsidP="004A263B">
      <w:pPr>
        <w:pStyle w:val="ListParagraph"/>
        <w:numPr>
          <w:ilvl w:val="0"/>
          <w:numId w:val="34"/>
        </w:numPr>
        <w:spacing w:before="0" w:after="0"/>
        <w:ind w:left="851" w:hanging="425"/>
        <w:rPr>
          <w:rStyle w:val="Strong"/>
          <w:b w:val="0"/>
        </w:rPr>
      </w:pPr>
      <w:r w:rsidRPr="00CA400C">
        <w:rPr>
          <w:b/>
          <w:szCs w:val="20"/>
        </w:rPr>
        <w:fldChar w:fldCharType="begin">
          <w:ffData>
            <w:name w:val="Check2"/>
            <w:enabled/>
            <w:calcOnExit w:val="0"/>
            <w:checkBox>
              <w:sizeAuto/>
              <w:default w:val="0"/>
            </w:checkBox>
          </w:ffData>
        </w:fldChar>
      </w:r>
      <w:r w:rsidRPr="00CA400C">
        <w:rPr>
          <w:b/>
          <w:szCs w:val="20"/>
        </w:rPr>
        <w:instrText xml:space="preserve"> FORMCHECKBOX </w:instrText>
      </w:r>
      <w:r w:rsidR="00236EB6">
        <w:rPr>
          <w:b/>
          <w:szCs w:val="20"/>
        </w:rPr>
      </w:r>
      <w:r w:rsidR="00236EB6">
        <w:rPr>
          <w:b/>
          <w:szCs w:val="20"/>
        </w:rPr>
        <w:fldChar w:fldCharType="separate"/>
      </w:r>
      <w:r w:rsidRPr="00CA400C">
        <w:rPr>
          <w:b/>
          <w:szCs w:val="20"/>
        </w:rPr>
        <w:fldChar w:fldCharType="end"/>
      </w:r>
      <w:r w:rsidRPr="00CA400C">
        <w:rPr>
          <w:b/>
          <w:szCs w:val="20"/>
        </w:rPr>
        <w:t xml:space="preserve"> </w:t>
      </w:r>
      <w:r w:rsidRPr="00CA400C">
        <w:rPr>
          <w:rStyle w:val="Strong"/>
          <w:b w:val="0"/>
        </w:rPr>
        <w:t>An amendment to the patient population under the existing item(s)</w:t>
      </w:r>
    </w:p>
    <w:p w14:paraId="4154628E" w14:textId="77777777" w:rsidR="002A270B" w:rsidRPr="00CA400C" w:rsidRDefault="002A270B" w:rsidP="004A263B">
      <w:pPr>
        <w:pStyle w:val="ListParagraph"/>
        <w:numPr>
          <w:ilvl w:val="0"/>
          <w:numId w:val="34"/>
        </w:numPr>
        <w:spacing w:before="0" w:after="0"/>
        <w:ind w:left="851" w:hanging="425"/>
        <w:rPr>
          <w:rStyle w:val="Strong"/>
          <w:b w:val="0"/>
        </w:rPr>
      </w:pPr>
      <w:r w:rsidRPr="00CA400C">
        <w:rPr>
          <w:b/>
          <w:szCs w:val="20"/>
        </w:rPr>
        <w:fldChar w:fldCharType="begin">
          <w:ffData>
            <w:name w:val="Check2"/>
            <w:enabled/>
            <w:calcOnExit w:val="0"/>
            <w:checkBox>
              <w:sizeAuto/>
              <w:default w:val="0"/>
            </w:checkBox>
          </w:ffData>
        </w:fldChar>
      </w:r>
      <w:r w:rsidRPr="00CA400C">
        <w:rPr>
          <w:b/>
          <w:szCs w:val="20"/>
        </w:rPr>
        <w:instrText xml:space="preserve"> FORMCHECKBOX </w:instrText>
      </w:r>
      <w:r w:rsidR="00236EB6">
        <w:rPr>
          <w:b/>
          <w:szCs w:val="20"/>
        </w:rPr>
      </w:r>
      <w:r w:rsidR="00236EB6">
        <w:rPr>
          <w:b/>
          <w:szCs w:val="20"/>
        </w:rPr>
        <w:fldChar w:fldCharType="separate"/>
      </w:r>
      <w:r w:rsidRPr="00CA400C">
        <w:rPr>
          <w:b/>
          <w:szCs w:val="20"/>
        </w:rPr>
        <w:fldChar w:fldCharType="end"/>
      </w:r>
      <w:r w:rsidRPr="00CA400C">
        <w:rPr>
          <w:b/>
          <w:szCs w:val="20"/>
        </w:rPr>
        <w:t xml:space="preserve"> </w:t>
      </w:r>
      <w:r w:rsidRPr="00CA400C">
        <w:rPr>
          <w:rStyle w:val="Strong"/>
          <w:b w:val="0"/>
        </w:rPr>
        <w:t>An amendment to the schedule fee of the existing item(s)</w:t>
      </w:r>
    </w:p>
    <w:p w14:paraId="5D55B19C" w14:textId="77777777" w:rsidR="002A270B" w:rsidRPr="00CA400C" w:rsidRDefault="002A270B" w:rsidP="004A263B">
      <w:pPr>
        <w:pStyle w:val="ListParagraph"/>
        <w:numPr>
          <w:ilvl w:val="0"/>
          <w:numId w:val="34"/>
        </w:numPr>
        <w:spacing w:before="0" w:after="0"/>
        <w:ind w:left="851" w:hanging="425"/>
        <w:rPr>
          <w:rStyle w:val="Strong"/>
          <w:b w:val="0"/>
        </w:rPr>
      </w:pPr>
      <w:r w:rsidRPr="00CA400C">
        <w:rPr>
          <w:b/>
          <w:szCs w:val="20"/>
        </w:rPr>
        <w:fldChar w:fldCharType="begin">
          <w:ffData>
            <w:name w:val="Check2"/>
            <w:enabled/>
            <w:calcOnExit w:val="0"/>
            <w:checkBox>
              <w:sizeAuto/>
              <w:default w:val="0"/>
            </w:checkBox>
          </w:ffData>
        </w:fldChar>
      </w:r>
      <w:r w:rsidRPr="00CA400C">
        <w:rPr>
          <w:b/>
          <w:szCs w:val="20"/>
        </w:rPr>
        <w:instrText xml:space="preserve"> FORMCHECKBOX </w:instrText>
      </w:r>
      <w:r w:rsidR="00236EB6">
        <w:rPr>
          <w:b/>
          <w:szCs w:val="20"/>
        </w:rPr>
      </w:r>
      <w:r w:rsidR="00236EB6">
        <w:rPr>
          <w:b/>
          <w:szCs w:val="20"/>
        </w:rPr>
        <w:fldChar w:fldCharType="separate"/>
      </w:r>
      <w:r w:rsidRPr="00CA400C">
        <w:rPr>
          <w:b/>
          <w:szCs w:val="20"/>
        </w:rPr>
        <w:fldChar w:fldCharType="end"/>
      </w:r>
      <w:r w:rsidRPr="00CA400C">
        <w:rPr>
          <w:b/>
          <w:szCs w:val="20"/>
        </w:rPr>
        <w:t xml:space="preserve"> </w:t>
      </w:r>
      <w:r w:rsidRPr="00CA400C">
        <w:rPr>
          <w:rStyle w:val="Strong"/>
          <w:b w:val="0"/>
        </w:rPr>
        <w:t>An amendment to the time and complexity of an existing item(s)</w:t>
      </w:r>
    </w:p>
    <w:p w14:paraId="3B8B8736" w14:textId="77777777" w:rsidR="002A270B" w:rsidRPr="00CA400C" w:rsidRDefault="002A270B" w:rsidP="004A263B">
      <w:pPr>
        <w:pStyle w:val="ListParagraph"/>
        <w:numPr>
          <w:ilvl w:val="0"/>
          <w:numId w:val="34"/>
        </w:numPr>
        <w:spacing w:before="0" w:after="0"/>
        <w:ind w:left="851" w:hanging="425"/>
        <w:rPr>
          <w:rStyle w:val="Strong"/>
          <w:b w:val="0"/>
        </w:rPr>
      </w:pPr>
      <w:r w:rsidRPr="00CA400C">
        <w:rPr>
          <w:b/>
          <w:szCs w:val="20"/>
        </w:rPr>
        <w:fldChar w:fldCharType="begin">
          <w:ffData>
            <w:name w:val="Check2"/>
            <w:enabled/>
            <w:calcOnExit w:val="0"/>
            <w:checkBox>
              <w:sizeAuto/>
              <w:default w:val="0"/>
            </w:checkBox>
          </w:ffData>
        </w:fldChar>
      </w:r>
      <w:r w:rsidRPr="00CA400C">
        <w:rPr>
          <w:b/>
          <w:szCs w:val="20"/>
        </w:rPr>
        <w:instrText xml:space="preserve"> FORMCHECKBOX </w:instrText>
      </w:r>
      <w:r w:rsidR="00236EB6">
        <w:rPr>
          <w:b/>
          <w:szCs w:val="20"/>
        </w:rPr>
      </w:r>
      <w:r w:rsidR="00236EB6">
        <w:rPr>
          <w:b/>
          <w:szCs w:val="20"/>
        </w:rPr>
        <w:fldChar w:fldCharType="separate"/>
      </w:r>
      <w:r w:rsidRPr="00CA400C">
        <w:rPr>
          <w:b/>
          <w:szCs w:val="20"/>
        </w:rPr>
        <w:fldChar w:fldCharType="end"/>
      </w:r>
      <w:r w:rsidRPr="00CA400C">
        <w:rPr>
          <w:b/>
          <w:szCs w:val="20"/>
        </w:rPr>
        <w:t xml:space="preserve"> </w:t>
      </w:r>
      <w:r w:rsidRPr="00CA400C">
        <w:rPr>
          <w:rStyle w:val="Strong"/>
          <w:b w:val="0"/>
        </w:rPr>
        <w:t>Access to an existing item(s) by a different health practitioner group</w:t>
      </w:r>
    </w:p>
    <w:p w14:paraId="72CEFEC7" w14:textId="77777777" w:rsidR="002A270B" w:rsidRPr="00CA400C" w:rsidRDefault="002A270B" w:rsidP="004A263B">
      <w:pPr>
        <w:pStyle w:val="ListParagraph"/>
        <w:numPr>
          <w:ilvl w:val="0"/>
          <w:numId w:val="34"/>
        </w:numPr>
        <w:spacing w:before="0" w:after="0"/>
        <w:ind w:left="851" w:hanging="425"/>
        <w:rPr>
          <w:rStyle w:val="Strong"/>
          <w:b w:val="0"/>
        </w:rPr>
      </w:pPr>
      <w:r w:rsidRPr="00CA400C">
        <w:rPr>
          <w:b/>
          <w:szCs w:val="20"/>
        </w:rPr>
        <w:fldChar w:fldCharType="begin">
          <w:ffData>
            <w:name w:val="Check2"/>
            <w:enabled/>
            <w:calcOnExit w:val="0"/>
            <w:checkBox>
              <w:sizeAuto/>
              <w:default w:val="0"/>
            </w:checkBox>
          </w:ffData>
        </w:fldChar>
      </w:r>
      <w:r w:rsidRPr="00CA400C">
        <w:rPr>
          <w:b/>
          <w:szCs w:val="20"/>
        </w:rPr>
        <w:instrText xml:space="preserve"> FORMCHECKBOX </w:instrText>
      </w:r>
      <w:r w:rsidR="00236EB6">
        <w:rPr>
          <w:b/>
          <w:szCs w:val="20"/>
        </w:rPr>
      </w:r>
      <w:r w:rsidR="00236EB6">
        <w:rPr>
          <w:b/>
          <w:szCs w:val="20"/>
        </w:rPr>
        <w:fldChar w:fldCharType="separate"/>
      </w:r>
      <w:r w:rsidRPr="00CA400C">
        <w:rPr>
          <w:b/>
          <w:szCs w:val="20"/>
        </w:rPr>
        <w:fldChar w:fldCharType="end"/>
      </w:r>
      <w:r w:rsidRPr="00CA400C">
        <w:rPr>
          <w:b/>
          <w:szCs w:val="20"/>
        </w:rPr>
        <w:t xml:space="preserve"> </w:t>
      </w:r>
      <w:r w:rsidRPr="00CA400C">
        <w:rPr>
          <w:rStyle w:val="Strong"/>
          <w:b w:val="0"/>
        </w:rPr>
        <w:t>Minor amendments to the item descriptor that does not affect how the service is delivered</w:t>
      </w:r>
    </w:p>
    <w:p w14:paraId="0A11022C" w14:textId="77777777" w:rsidR="002A270B" w:rsidRPr="00CA400C" w:rsidRDefault="002A270B" w:rsidP="004A263B">
      <w:pPr>
        <w:pStyle w:val="ListParagraph"/>
        <w:numPr>
          <w:ilvl w:val="0"/>
          <w:numId w:val="34"/>
        </w:numPr>
        <w:spacing w:before="0" w:after="0"/>
        <w:ind w:left="851" w:hanging="425"/>
        <w:rPr>
          <w:rStyle w:val="Strong"/>
          <w:b w:val="0"/>
        </w:rPr>
      </w:pPr>
      <w:r w:rsidRPr="00CA400C">
        <w:rPr>
          <w:b/>
          <w:szCs w:val="20"/>
        </w:rPr>
        <w:fldChar w:fldCharType="begin">
          <w:ffData>
            <w:name w:val="Check2"/>
            <w:enabled/>
            <w:calcOnExit w:val="0"/>
            <w:checkBox>
              <w:sizeAuto/>
              <w:default w:val="0"/>
            </w:checkBox>
          </w:ffData>
        </w:fldChar>
      </w:r>
      <w:r w:rsidRPr="00CA400C">
        <w:rPr>
          <w:b/>
          <w:szCs w:val="20"/>
        </w:rPr>
        <w:instrText xml:space="preserve"> FORMCHECKBOX </w:instrText>
      </w:r>
      <w:r w:rsidR="00236EB6">
        <w:rPr>
          <w:b/>
          <w:szCs w:val="20"/>
        </w:rPr>
      </w:r>
      <w:r w:rsidR="00236EB6">
        <w:rPr>
          <w:b/>
          <w:szCs w:val="20"/>
        </w:rPr>
        <w:fldChar w:fldCharType="separate"/>
      </w:r>
      <w:r w:rsidRPr="00CA400C">
        <w:rPr>
          <w:b/>
          <w:szCs w:val="20"/>
        </w:rPr>
        <w:fldChar w:fldCharType="end"/>
      </w:r>
      <w:r w:rsidRPr="00CA400C">
        <w:rPr>
          <w:b/>
          <w:szCs w:val="20"/>
        </w:rPr>
        <w:t xml:space="preserve"> </w:t>
      </w:r>
      <w:r w:rsidRPr="00CA400C">
        <w:rPr>
          <w:rStyle w:val="Strong"/>
          <w:b w:val="0"/>
        </w:rPr>
        <w:t>An amendment to an existing specific single consultation item</w:t>
      </w:r>
    </w:p>
    <w:p w14:paraId="498CF86C" w14:textId="77777777" w:rsidR="002A270B" w:rsidRPr="00CA400C" w:rsidRDefault="002A270B" w:rsidP="004A263B">
      <w:pPr>
        <w:pStyle w:val="ListParagraph"/>
        <w:numPr>
          <w:ilvl w:val="0"/>
          <w:numId w:val="34"/>
        </w:numPr>
        <w:spacing w:before="0" w:after="0"/>
        <w:ind w:left="851" w:hanging="425"/>
        <w:rPr>
          <w:rStyle w:val="Strong"/>
          <w:b w:val="0"/>
        </w:rPr>
      </w:pPr>
      <w:r w:rsidRPr="00CA400C">
        <w:rPr>
          <w:b/>
          <w:szCs w:val="20"/>
        </w:rPr>
        <w:fldChar w:fldCharType="begin">
          <w:ffData>
            <w:name w:val="Check2"/>
            <w:enabled/>
            <w:calcOnExit w:val="0"/>
            <w:checkBox>
              <w:sizeAuto/>
              <w:default w:val="0"/>
            </w:checkBox>
          </w:ffData>
        </w:fldChar>
      </w:r>
      <w:r w:rsidRPr="00CA400C">
        <w:rPr>
          <w:b/>
          <w:szCs w:val="20"/>
        </w:rPr>
        <w:instrText xml:space="preserve"> FORMCHECKBOX </w:instrText>
      </w:r>
      <w:r w:rsidR="00236EB6">
        <w:rPr>
          <w:b/>
          <w:szCs w:val="20"/>
        </w:rPr>
      </w:r>
      <w:r w:rsidR="00236EB6">
        <w:rPr>
          <w:b/>
          <w:szCs w:val="20"/>
        </w:rPr>
        <w:fldChar w:fldCharType="separate"/>
      </w:r>
      <w:r w:rsidRPr="00CA400C">
        <w:rPr>
          <w:b/>
          <w:szCs w:val="20"/>
        </w:rPr>
        <w:fldChar w:fldCharType="end"/>
      </w:r>
      <w:r w:rsidRPr="00CA400C">
        <w:rPr>
          <w:b/>
          <w:szCs w:val="20"/>
        </w:rPr>
        <w:t xml:space="preserve"> </w:t>
      </w:r>
      <w:r w:rsidRPr="00CA400C">
        <w:rPr>
          <w:rStyle w:val="Strong"/>
          <w:b w:val="0"/>
        </w:rPr>
        <w:t>An amendment to an existing global consultation item(s)</w:t>
      </w:r>
    </w:p>
    <w:p w14:paraId="4023280B" w14:textId="77777777" w:rsidR="002A270B" w:rsidRPr="00CA400C" w:rsidRDefault="004A263B" w:rsidP="004A263B">
      <w:pPr>
        <w:pStyle w:val="ListParagraph"/>
        <w:numPr>
          <w:ilvl w:val="0"/>
          <w:numId w:val="34"/>
        </w:numPr>
        <w:ind w:left="851" w:hanging="425"/>
        <w:rPr>
          <w:rStyle w:val="Strong"/>
        </w:rPr>
      </w:pPr>
      <w:r w:rsidRPr="00CA400C">
        <w:rPr>
          <w:b/>
          <w:szCs w:val="20"/>
        </w:rPr>
        <w:fldChar w:fldCharType="begin">
          <w:ffData>
            <w:name w:val="Check2"/>
            <w:enabled/>
            <w:calcOnExit w:val="0"/>
            <w:checkBox>
              <w:sizeAuto/>
              <w:default w:val="0"/>
            </w:checkBox>
          </w:ffData>
        </w:fldChar>
      </w:r>
      <w:r w:rsidRPr="00CA400C">
        <w:rPr>
          <w:b/>
          <w:szCs w:val="20"/>
        </w:rPr>
        <w:instrText xml:space="preserve"> FORMCHECKBOX </w:instrText>
      </w:r>
      <w:r w:rsidR="00236EB6">
        <w:rPr>
          <w:b/>
          <w:szCs w:val="20"/>
        </w:rPr>
      </w:r>
      <w:r w:rsidR="00236EB6">
        <w:rPr>
          <w:b/>
          <w:szCs w:val="20"/>
        </w:rPr>
        <w:fldChar w:fldCharType="separate"/>
      </w:r>
      <w:r w:rsidRPr="00CA400C">
        <w:rPr>
          <w:b/>
          <w:szCs w:val="20"/>
        </w:rPr>
        <w:fldChar w:fldCharType="end"/>
      </w:r>
      <w:r w:rsidRPr="00CA400C">
        <w:rPr>
          <w:b/>
          <w:szCs w:val="20"/>
        </w:rPr>
        <w:t xml:space="preserve"> </w:t>
      </w:r>
      <w:r w:rsidR="002A270B" w:rsidRPr="00CA400C">
        <w:rPr>
          <w:rStyle w:val="Strong"/>
          <w:b w:val="0"/>
        </w:rPr>
        <w:t>Other (please describe below)</w:t>
      </w:r>
      <w:r w:rsidR="00A6491A" w:rsidRPr="00CA400C">
        <w:rPr>
          <w:rStyle w:val="Strong"/>
          <w:b w:val="0"/>
        </w:rPr>
        <w:t>:</w:t>
      </w:r>
    </w:p>
    <w:p w14:paraId="1FC3FB8D" w14:textId="77777777" w:rsidR="00DA238D" w:rsidRPr="00CA400C" w:rsidRDefault="00DA238D" w:rsidP="00DA238D">
      <w:pPr>
        <w:ind w:left="426"/>
      </w:pPr>
      <w:r w:rsidRPr="00CA400C">
        <w:t>Not currently applicable.</w:t>
      </w:r>
    </w:p>
    <w:p w14:paraId="3C9603A0" w14:textId="77777777" w:rsidR="00534C5F" w:rsidRPr="00CA400C" w:rsidRDefault="000770BA" w:rsidP="00730C04">
      <w:pPr>
        <w:pStyle w:val="Heading2"/>
        <w:numPr>
          <w:ilvl w:val="0"/>
          <w:numId w:val="24"/>
        </w:numPr>
        <w:rPr>
          <w:rStyle w:val="Strong"/>
          <w:rFonts w:asciiTheme="minorHAnsi" w:eastAsiaTheme="minorHAnsi" w:hAnsiTheme="minorHAnsi" w:cstheme="minorBidi"/>
          <w:b/>
        </w:rPr>
      </w:pPr>
      <w:r w:rsidRPr="00CA400C">
        <w:rPr>
          <w:rStyle w:val="Strong"/>
          <w:rFonts w:asciiTheme="minorHAnsi" w:eastAsiaTheme="minorHAnsi" w:hAnsiTheme="minorHAnsi" w:cstheme="minorBidi"/>
          <w:b/>
        </w:rPr>
        <w:t>If a new item</w:t>
      </w:r>
      <w:r w:rsidR="005D0677" w:rsidRPr="00CA400C">
        <w:rPr>
          <w:rStyle w:val="Strong"/>
          <w:rFonts w:asciiTheme="minorHAnsi" w:eastAsiaTheme="minorHAnsi" w:hAnsiTheme="minorHAnsi" w:cstheme="minorBidi"/>
          <w:b/>
        </w:rPr>
        <w:t>(s)</w:t>
      </w:r>
      <w:r w:rsidR="003433D1" w:rsidRPr="00CA400C">
        <w:rPr>
          <w:rStyle w:val="Strong"/>
          <w:rFonts w:asciiTheme="minorHAnsi" w:eastAsiaTheme="minorHAnsi" w:hAnsiTheme="minorHAnsi" w:cstheme="minorBidi"/>
          <w:b/>
        </w:rPr>
        <w:t xml:space="preserve"> is being requested</w:t>
      </w:r>
      <w:r w:rsidRPr="00CA400C">
        <w:rPr>
          <w:rStyle w:val="Strong"/>
          <w:rFonts w:asciiTheme="minorHAnsi" w:eastAsiaTheme="minorHAnsi" w:hAnsiTheme="minorHAnsi" w:cstheme="minorBidi"/>
          <w:b/>
        </w:rPr>
        <w:t>, what is the nature of the change to the MBS being sought?</w:t>
      </w:r>
    </w:p>
    <w:p w14:paraId="6215DBD4" w14:textId="77777777" w:rsidR="006B6390" w:rsidRPr="00CA400C" w:rsidRDefault="006B6390" w:rsidP="00AA2CFE">
      <w:pPr>
        <w:pStyle w:val="ListParagraph"/>
        <w:numPr>
          <w:ilvl w:val="0"/>
          <w:numId w:val="35"/>
        </w:numPr>
        <w:spacing w:before="0" w:after="0"/>
        <w:ind w:left="851" w:hanging="425"/>
        <w:rPr>
          <w:rStyle w:val="Strong"/>
          <w:b w:val="0"/>
        </w:rPr>
      </w:pPr>
      <w:r w:rsidRPr="00CA400C">
        <w:rPr>
          <w:b/>
          <w:szCs w:val="20"/>
        </w:rPr>
        <w:fldChar w:fldCharType="begin">
          <w:ffData>
            <w:name w:val="Check2"/>
            <w:enabled/>
            <w:calcOnExit w:val="0"/>
            <w:checkBox>
              <w:sizeAuto/>
              <w:default w:val="0"/>
            </w:checkBox>
          </w:ffData>
        </w:fldChar>
      </w:r>
      <w:r w:rsidRPr="00CA400C">
        <w:rPr>
          <w:b/>
          <w:szCs w:val="20"/>
        </w:rPr>
        <w:instrText xml:space="preserve"> FORMCHECKBOX </w:instrText>
      </w:r>
      <w:r w:rsidR="00236EB6">
        <w:rPr>
          <w:b/>
          <w:szCs w:val="20"/>
        </w:rPr>
      </w:r>
      <w:r w:rsidR="00236EB6">
        <w:rPr>
          <w:b/>
          <w:szCs w:val="20"/>
        </w:rPr>
        <w:fldChar w:fldCharType="separate"/>
      </w:r>
      <w:r w:rsidRPr="00CA400C">
        <w:rPr>
          <w:b/>
          <w:szCs w:val="20"/>
        </w:rPr>
        <w:fldChar w:fldCharType="end"/>
      </w:r>
      <w:r w:rsidRPr="00CA400C">
        <w:rPr>
          <w:b/>
          <w:szCs w:val="20"/>
        </w:rPr>
        <w:t xml:space="preserve"> </w:t>
      </w:r>
      <w:r w:rsidRPr="00CA400C">
        <w:rPr>
          <w:rStyle w:val="Strong"/>
          <w:b w:val="0"/>
        </w:rPr>
        <w:t>A new item which also seeks to allow access to the MBS for a specific health practitioner group</w:t>
      </w:r>
    </w:p>
    <w:p w14:paraId="7B9F3186" w14:textId="77777777" w:rsidR="006B6390" w:rsidRPr="00CA400C" w:rsidRDefault="00671F29" w:rsidP="00AA2CFE">
      <w:pPr>
        <w:pStyle w:val="ListParagraph"/>
        <w:numPr>
          <w:ilvl w:val="0"/>
          <w:numId w:val="35"/>
        </w:numPr>
        <w:spacing w:before="0" w:after="0"/>
        <w:ind w:left="851" w:hanging="425"/>
        <w:rPr>
          <w:rStyle w:val="Strong"/>
          <w:b w:val="0"/>
        </w:rPr>
      </w:pPr>
      <w:r w:rsidRPr="00CA400C">
        <w:rPr>
          <w:b/>
          <w:szCs w:val="20"/>
        </w:rPr>
        <w:fldChar w:fldCharType="begin">
          <w:ffData>
            <w:name w:val=""/>
            <w:enabled/>
            <w:calcOnExit w:val="0"/>
            <w:checkBox>
              <w:sizeAuto/>
              <w:default w:val="1"/>
            </w:checkBox>
          </w:ffData>
        </w:fldChar>
      </w:r>
      <w:r w:rsidRPr="00CA400C">
        <w:rPr>
          <w:b/>
          <w:szCs w:val="20"/>
        </w:rPr>
        <w:instrText xml:space="preserve"> FORMCHECKBOX </w:instrText>
      </w:r>
      <w:r w:rsidR="00236EB6">
        <w:rPr>
          <w:b/>
          <w:szCs w:val="20"/>
        </w:rPr>
      </w:r>
      <w:r w:rsidR="00236EB6">
        <w:rPr>
          <w:b/>
          <w:szCs w:val="20"/>
        </w:rPr>
        <w:fldChar w:fldCharType="separate"/>
      </w:r>
      <w:r w:rsidRPr="00CA400C">
        <w:rPr>
          <w:b/>
          <w:szCs w:val="20"/>
        </w:rPr>
        <w:fldChar w:fldCharType="end"/>
      </w:r>
      <w:r w:rsidR="006B6390" w:rsidRPr="00CA400C">
        <w:rPr>
          <w:b/>
          <w:szCs w:val="20"/>
        </w:rPr>
        <w:t xml:space="preserve"> </w:t>
      </w:r>
      <w:r w:rsidR="006B6390" w:rsidRPr="00CA400C">
        <w:rPr>
          <w:rStyle w:val="Strong"/>
          <w:b w:val="0"/>
        </w:rPr>
        <w:t>A new item that is proposing a way of clinically delivering a service that is new to the MBS (in terms of new technology and / or population)</w:t>
      </w:r>
    </w:p>
    <w:p w14:paraId="253BD5E5" w14:textId="77777777" w:rsidR="006B6390" w:rsidRPr="00CA400C" w:rsidRDefault="00671F29" w:rsidP="00AA2CFE">
      <w:pPr>
        <w:pStyle w:val="ListParagraph"/>
        <w:numPr>
          <w:ilvl w:val="0"/>
          <w:numId w:val="35"/>
        </w:numPr>
        <w:spacing w:before="0" w:after="0"/>
        <w:ind w:left="851" w:hanging="425"/>
        <w:rPr>
          <w:rStyle w:val="Strong"/>
          <w:b w:val="0"/>
        </w:rPr>
      </w:pPr>
      <w:r w:rsidRPr="00CA400C">
        <w:rPr>
          <w:b/>
          <w:szCs w:val="20"/>
        </w:rPr>
        <w:fldChar w:fldCharType="begin">
          <w:ffData>
            <w:name w:val=""/>
            <w:enabled/>
            <w:calcOnExit w:val="0"/>
            <w:checkBox>
              <w:sizeAuto/>
              <w:default w:val="0"/>
            </w:checkBox>
          </w:ffData>
        </w:fldChar>
      </w:r>
      <w:r w:rsidRPr="00CA400C">
        <w:rPr>
          <w:b/>
          <w:szCs w:val="20"/>
        </w:rPr>
        <w:instrText xml:space="preserve"> FORMCHECKBOX </w:instrText>
      </w:r>
      <w:r w:rsidR="00236EB6">
        <w:rPr>
          <w:b/>
          <w:szCs w:val="20"/>
        </w:rPr>
      </w:r>
      <w:r w:rsidR="00236EB6">
        <w:rPr>
          <w:b/>
          <w:szCs w:val="20"/>
        </w:rPr>
        <w:fldChar w:fldCharType="separate"/>
      </w:r>
      <w:r w:rsidRPr="00CA400C">
        <w:rPr>
          <w:b/>
          <w:szCs w:val="20"/>
        </w:rPr>
        <w:fldChar w:fldCharType="end"/>
      </w:r>
      <w:r w:rsidR="006B6390" w:rsidRPr="00CA400C">
        <w:rPr>
          <w:b/>
          <w:szCs w:val="20"/>
        </w:rPr>
        <w:t xml:space="preserve"> </w:t>
      </w:r>
      <w:r w:rsidR="006B6390" w:rsidRPr="00CA400C">
        <w:rPr>
          <w:rStyle w:val="Strong"/>
          <w:b w:val="0"/>
        </w:rPr>
        <w:t>A new item for a specific single consultation item</w:t>
      </w:r>
    </w:p>
    <w:p w14:paraId="0389818B" w14:textId="77777777" w:rsidR="006B6390" w:rsidRPr="00CA400C" w:rsidRDefault="006B6390" w:rsidP="00AA2CFE">
      <w:pPr>
        <w:pStyle w:val="ListParagraph"/>
        <w:numPr>
          <w:ilvl w:val="0"/>
          <w:numId w:val="35"/>
        </w:numPr>
        <w:spacing w:before="0" w:after="0"/>
        <w:ind w:left="851" w:hanging="425"/>
        <w:rPr>
          <w:rStyle w:val="Strong"/>
          <w:b w:val="0"/>
        </w:rPr>
      </w:pPr>
      <w:r w:rsidRPr="00CA400C">
        <w:rPr>
          <w:b/>
          <w:szCs w:val="20"/>
        </w:rPr>
        <w:fldChar w:fldCharType="begin">
          <w:ffData>
            <w:name w:val="Check2"/>
            <w:enabled/>
            <w:calcOnExit w:val="0"/>
            <w:checkBox>
              <w:sizeAuto/>
              <w:default w:val="0"/>
            </w:checkBox>
          </w:ffData>
        </w:fldChar>
      </w:r>
      <w:r w:rsidRPr="00CA400C">
        <w:rPr>
          <w:b/>
          <w:szCs w:val="20"/>
        </w:rPr>
        <w:instrText xml:space="preserve"> FORMCHECKBOX </w:instrText>
      </w:r>
      <w:r w:rsidR="00236EB6">
        <w:rPr>
          <w:b/>
          <w:szCs w:val="20"/>
        </w:rPr>
      </w:r>
      <w:r w:rsidR="00236EB6">
        <w:rPr>
          <w:b/>
          <w:szCs w:val="20"/>
        </w:rPr>
        <w:fldChar w:fldCharType="separate"/>
      </w:r>
      <w:r w:rsidRPr="00CA400C">
        <w:rPr>
          <w:b/>
          <w:szCs w:val="20"/>
        </w:rPr>
        <w:fldChar w:fldCharType="end"/>
      </w:r>
      <w:r w:rsidRPr="00CA400C">
        <w:rPr>
          <w:b/>
          <w:szCs w:val="20"/>
        </w:rPr>
        <w:t xml:space="preserve"> </w:t>
      </w:r>
      <w:r w:rsidRPr="00CA400C">
        <w:rPr>
          <w:rStyle w:val="Strong"/>
          <w:b w:val="0"/>
        </w:rPr>
        <w:t>A new item for a global consultation item(s)</w:t>
      </w:r>
    </w:p>
    <w:p w14:paraId="4D3B72AF" w14:textId="77777777" w:rsidR="003027BB" w:rsidRPr="00CA400C" w:rsidRDefault="00F30C22" w:rsidP="00730C04">
      <w:pPr>
        <w:pStyle w:val="Heading2"/>
        <w:numPr>
          <w:ilvl w:val="0"/>
          <w:numId w:val="24"/>
        </w:numPr>
        <w:rPr>
          <w:rStyle w:val="Strong"/>
          <w:rFonts w:asciiTheme="minorHAnsi" w:eastAsiaTheme="minorHAnsi" w:hAnsiTheme="minorHAnsi" w:cstheme="minorBidi"/>
          <w:b/>
        </w:rPr>
      </w:pPr>
      <w:r w:rsidRPr="00CA400C">
        <w:rPr>
          <w:rStyle w:val="Strong"/>
          <w:rFonts w:asciiTheme="minorHAnsi" w:eastAsiaTheme="minorHAnsi" w:hAnsiTheme="minorHAnsi" w:cstheme="minorBidi"/>
          <w:b/>
        </w:rPr>
        <w:t>Is the proposed service seeking public funding other than the MBS?</w:t>
      </w:r>
    </w:p>
    <w:p w14:paraId="7CAB7E75" w14:textId="77777777" w:rsidR="000A5B32" w:rsidRPr="00CA400C" w:rsidRDefault="00671F29" w:rsidP="00A6491A">
      <w:pPr>
        <w:spacing w:before="0" w:after="0"/>
        <w:ind w:left="284"/>
        <w:rPr>
          <w:szCs w:val="20"/>
        </w:rPr>
      </w:pPr>
      <w:r w:rsidRPr="00CA400C">
        <w:rPr>
          <w:szCs w:val="20"/>
        </w:rPr>
        <w:fldChar w:fldCharType="begin">
          <w:ffData>
            <w:name w:val=""/>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000A5B32" w:rsidRPr="00CA400C">
        <w:rPr>
          <w:szCs w:val="20"/>
        </w:rPr>
        <w:t xml:space="preserve"> Yes</w:t>
      </w:r>
    </w:p>
    <w:p w14:paraId="5A1F5B5E" w14:textId="77777777" w:rsidR="00626365" w:rsidRPr="00CA400C" w:rsidRDefault="00671F29" w:rsidP="00626365">
      <w:pPr>
        <w:spacing w:before="0" w:after="0"/>
        <w:ind w:left="284"/>
        <w:rPr>
          <w:szCs w:val="20"/>
        </w:rPr>
      </w:pPr>
      <w:r w:rsidRPr="00CA400C">
        <w:rPr>
          <w:szCs w:val="20"/>
        </w:rPr>
        <w:fldChar w:fldCharType="begin">
          <w:ffData>
            <w:name w:val=""/>
            <w:enabled/>
            <w:calcOnExit w:val="0"/>
            <w:checkBox>
              <w:sizeAuto/>
              <w:default w:val="1"/>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000A5B32" w:rsidRPr="00CA400C">
        <w:rPr>
          <w:szCs w:val="20"/>
        </w:rPr>
        <w:t xml:space="preserve"> No</w:t>
      </w:r>
    </w:p>
    <w:p w14:paraId="00011193" w14:textId="77777777" w:rsidR="00495AAE" w:rsidRPr="00CA400C" w:rsidRDefault="00495AAE" w:rsidP="00626365">
      <w:pPr>
        <w:spacing w:before="0" w:after="0"/>
        <w:ind w:left="284"/>
        <w:rPr>
          <w:szCs w:val="20"/>
        </w:rPr>
      </w:pPr>
    </w:p>
    <w:p w14:paraId="440BE182" w14:textId="4D24C146" w:rsidR="00495AAE" w:rsidRPr="00CA400C" w:rsidRDefault="00495AAE" w:rsidP="00626365">
      <w:pPr>
        <w:spacing w:before="0" w:after="0"/>
        <w:ind w:left="284"/>
        <w:rPr>
          <w:szCs w:val="20"/>
        </w:rPr>
      </w:pPr>
      <w:r w:rsidRPr="00CA400C">
        <w:rPr>
          <w:rStyle w:val="Strong"/>
          <w:rFonts w:asciiTheme="minorHAnsi" w:eastAsiaTheme="minorHAnsi" w:hAnsiTheme="minorHAnsi" w:cstheme="minorBidi"/>
          <w:b w:val="0"/>
          <w:szCs w:val="20"/>
        </w:rPr>
        <w:t>No other source of funding for PD</w:t>
      </w:r>
      <w:r w:rsidR="00B25D32" w:rsidRPr="00CA400C">
        <w:rPr>
          <w:rStyle w:val="Strong"/>
          <w:rFonts w:asciiTheme="minorHAnsi" w:eastAsiaTheme="minorHAnsi" w:hAnsiTheme="minorHAnsi" w:cstheme="minorBidi"/>
          <w:b w:val="0"/>
          <w:szCs w:val="20"/>
        </w:rPr>
        <w:noBreakHyphen/>
      </w:r>
      <w:r w:rsidRPr="00CA400C">
        <w:rPr>
          <w:rStyle w:val="Strong"/>
          <w:rFonts w:asciiTheme="minorHAnsi" w:eastAsiaTheme="minorHAnsi" w:hAnsiTheme="minorHAnsi" w:cstheme="minorBidi"/>
          <w:b w:val="0"/>
          <w:szCs w:val="20"/>
        </w:rPr>
        <w:t>L1 testing other than the MBS is sought. However, as a co</w:t>
      </w:r>
      <w:r w:rsidR="00B25D32" w:rsidRPr="00CA400C">
        <w:rPr>
          <w:rStyle w:val="Strong"/>
          <w:rFonts w:asciiTheme="minorHAnsi" w:eastAsiaTheme="minorHAnsi" w:hAnsiTheme="minorHAnsi" w:cstheme="minorBidi"/>
          <w:b w:val="0"/>
          <w:szCs w:val="20"/>
        </w:rPr>
        <w:noBreakHyphen/>
      </w:r>
      <w:r w:rsidRPr="00CA400C">
        <w:rPr>
          <w:rStyle w:val="Strong"/>
          <w:rFonts w:asciiTheme="minorHAnsi" w:eastAsiaTheme="minorHAnsi" w:hAnsiTheme="minorHAnsi" w:cstheme="minorBidi"/>
          <w:b w:val="0"/>
          <w:szCs w:val="20"/>
        </w:rPr>
        <w:t xml:space="preserve">dependent submission, public funding for PBS access to </w:t>
      </w:r>
      <w:proofErr w:type="spellStart"/>
      <w:r w:rsidRPr="00CA400C">
        <w:rPr>
          <w:rStyle w:val="Strong"/>
          <w:rFonts w:asciiTheme="minorHAnsi" w:eastAsiaTheme="minorHAnsi" w:hAnsiTheme="minorHAnsi" w:cstheme="minorBidi"/>
          <w:b w:val="0"/>
          <w:szCs w:val="20"/>
        </w:rPr>
        <w:t>durvalumab</w:t>
      </w:r>
      <w:proofErr w:type="spellEnd"/>
      <w:r w:rsidRPr="00CA400C">
        <w:rPr>
          <w:rStyle w:val="Strong"/>
          <w:rFonts w:asciiTheme="minorHAnsi" w:eastAsiaTheme="minorHAnsi" w:hAnsiTheme="minorHAnsi" w:cstheme="minorBidi"/>
          <w:b w:val="0"/>
          <w:szCs w:val="20"/>
        </w:rPr>
        <w:t xml:space="preserve"> </w:t>
      </w:r>
      <w:r w:rsidR="001A15E9" w:rsidRPr="00CA400C">
        <w:rPr>
          <w:rStyle w:val="Strong"/>
          <w:rFonts w:asciiTheme="minorHAnsi" w:eastAsiaTheme="minorHAnsi" w:hAnsiTheme="minorHAnsi" w:cstheme="minorBidi"/>
          <w:b w:val="0"/>
          <w:szCs w:val="20"/>
        </w:rPr>
        <w:t xml:space="preserve">monotherapy </w:t>
      </w:r>
      <w:r w:rsidRPr="00CA400C">
        <w:rPr>
          <w:rStyle w:val="Strong"/>
          <w:rFonts w:asciiTheme="minorHAnsi" w:eastAsiaTheme="minorHAnsi" w:hAnsiTheme="minorHAnsi" w:cstheme="minorBidi"/>
          <w:b w:val="0"/>
          <w:szCs w:val="20"/>
        </w:rPr>
        <w:t xml:space="preserve">or </w:t>
      </w:r>
      <w:proofErr w:type="spellStart"/>
      <w:r w:rsidRPr="00CA400C">
        <w:rPr>
          <w:rStyle w:val="Strong"/>
          <w:rFonts w:asciiTheme="minorHAnsi" w:eastAsiaTheme="minorHAnsi" w:hAnsiTheme="minorHAnsi" w:cstheme="minorBidi"/>
          <w:b w:val="0"/>
          <w:szCs w:val="20"/>
        </w:rPr>
        <w:t>durvalumab</w:t>
      </w:r>
      <w:proofErr w:type="spellEnd"/>
      <w:r w:rsidRPr="00CA400C">
        <w:rPr>
          <w:rStyle w:val="Strong"/>
          <w:rFonts w:asciiTheme="minorHAnsi" w:eastAsiaTheme="minorHAnsi" w:hAnsiTheme="minorHAnsi" w:cstheme="minorBidi"/>
          <w:b w:val="0"/>
          <w:szCs w:val="20"/>
        </w:rPr>
        <w:t>/</w:t>
      </w:r>
      <w:proofErr w:type="spellStart"/>
      <w:r w:rsidRPr="00CA400C">
        <w:rPr>
          <w:rStyle w:val="Strong"/>
          <w:rFonts w:asciiTheme="minorHAnsi" w:eastAsiaTheme="minorHAnsi" w:hAnsiTheme="minorHAnsi" w:cstheme="minorBidi"/>
          <w:b w:val="0"/>
          <w:szCs w:val="20"/>
        </w:rPr>
        <w:t>tremelimumab</w:t>
      </w:r>
      <w:proofErr w:type="spellEnd"/>
      <w:r w:rsidRPr="00CA400C">
        <w:rPr>
          <w:rStyle w:val="Strong"/>
          <w:rFonts w:asciiTheme="minorHAnsi" w:eastAsiaTheme="minorHAnsi" w:hAnsiTheme="minorHAnsi" w:cstheme="minorBidi"/>
          <w:b w:val="0"/>
          <w:szCs w:val="20"/>
        </w:rPr>
        <w:t xml:space="preserve"> </w:t>
      </w:r>
      <w:r w:rsidR="001A15E9" w:rsidRPr="00CA400C">
        <w:rPr>
          <w:rStyle w:val="Strong"/>
          <w:rFonts w:asciiTheme="minorHAnsi" w:eastAsiaTheme="minorHAnsi" w:hAnsiTheme="minorHAnsi" w:cstheme="minorBidi"/>
          <w:b w:val="0"/>
          <w:szCs w:val="20"/>
        </w:rPr>
        <w:t xml:space="preserve">combination therapy </w:t>
      </w:r>
      <w:r w:rsidRPr="00CA400C">
        <w:rPr>
          <w:rStyle w:val="Strong"/>
          <w:rFonts w:asciiTheme="minorHAnsi" w:eastAsiaTheme="minorHAnsi" w:hAnsiTheme="minorHAnsi" w:cstheme="minorBidi"/>
          <w:b w:val="0"/>
          <w:szCs w:val="20"/>
        </w:rPr>
        <w:t>is being sought</w:t>
      </w:r>
      <w:r w:rsidR="001715E2" w:rsidRPr="00CA400C">
        <w:rPr>
          <w:rStyle w:val="Strong"/>
          <w:rFonts w:asciiTheme="minorHAnsi" w:eastAsiaTheme="minorHAnsi" w:hAnsiTheme="minorHAnsi" w:cstheme="minorBidi"/>
          <w:b w:val="0"/>
          <w:szCs w:val="20"/>
        </w:rPr>
        <w:t xml:space="preserve"> for this indication</w:t>
      </w:r>
      <w:r w:rsidRPr="00CA400C">
        <w:rPr>
          <w:rStyle w:val="Strong"/>
          <w:rFonts w:asciiTheme="minorHAnsi" w:eastAsiaTheme="minorHAnsi" w:hAnsiTheme="minorHAnsi" w:cstheme="minorBidi"/>
          <w:b w:val="0"/>
          <w:szCs w:val="20"/>
        </w:rPr>
        <w:t>.</w:t>
      </w:r>
    </w:p>
    <w:p w14:paraId="16D71F68" w14:textId="77777777" w:rsidR="003027BB" w:rsidRPr="00CA400C" w:rsidRDefault="003027BB" w:rsidP="00730C04">
      <w:pPr>
        <w:pStyle w:val="Heading2"/>
        <w:numPr>
          <w:ilvl w:val="0"/>
          <w:numId w:val="24"/>
        </w:numPr>
        <w:rPr>
          <w:rStyle w:val="Strong"/>
          <w:rFonts w:asciiTheme="minorHAnsi" w:eastAsiaTheme="minorHAnsi" w:hAnsiTheme="minorHAnsi" w:cstheme="minorBidi"/>
          <w:b/>
        </w:rPr>
      </w:pPr>
      <w:r w:rsidRPr="00CA400C">
        <w:rPr>
          <w:rStyle w:val="Strong"/>
          <w:rFonts w:asciiTheme="minorHAnsi" w:eastAsiaTheme="minorHAnsi" w:hAnsiTheme="minorHAnsi" w:cstheme="minorBidi"/>
          <w:b/>
        </w:rPr>
        <w:t xml:space="preserve">If yes, please </w:t>
      </w:r>
      <w:proofErr w:type="gramStart"/>
      <w:r w:rsidRPr="00CA400C">
        <w:rPr>
          <w:rStyle w:val="Strong"/>
          <w:rFonts w:asciiTheme="minorHAnsi" w:eastAsiaTheme="minorHAnsi" w:hAnsiTheme="minorHAnsi" w:cstheme="minorBidi"/>
          <w:b/>
        </w:rPr>
        <w:t>advise</w:t>
      </w:r>
      <w:proofErr w:type="gramEnd"/>
      <w:r w:rsidRPr="00CA400C">
        <w:rPr>
          <w:rStyle w:val="Strong"/>
          <w:rFonts w:asciiTheme="minorHAnsi" w:eastAsiaTheme="minorHAnsi" w:hAnsiTheme="minorHAnsi" w:cstheme="minorBidi"/>
          <w:b/>
        </w:rPr>
        <w:t>:</w:t>
      </w:r>
    </w:p>
    <w:p w14:paraId="55DC9EB0" w14:textId="77777777" w:rsidR="000A5B32" w:rsidRPr="00CA400C" w:rsidRDefault="000A5B32" w:rsidP="00A6491A">
      <w:pPr>
        <w:ind w:left="284"/>
        <w:rPr>
          <w:rStyle w:val="Strong"/>
        </w:rPr>
      </w:pPr>
    </w:p>
    <w:p w14:paraId="0BC0B1D6" w14:textId="77777777" w:rsidR="000B3CD0" w:rsidRPr="00CA400C" w:rsidRDefault="00282E01" w:rsidP="00730C04">
      <w:pPr>
        <w:pStyle w:val="Heading2"/>
      </w:pPr>
      <w:r w:rsidRPr="00CA400C">
        <w:t>What is the type of service?</w:t>
      </w:r>
    </w:p>
    <w:p w14:paraId="7A7327CB" w14:textId="77777777" w:rsidR="00A6594E" w:rsidRPr="00CA400C" w:rsidRDefault="00A6594E" w:rsidP="00A6491A">
      <w:pPr>
        <w:spacing w:before="0" w:after="0"/>
        <w:ind w:left="284"/>
      </w:pPr>
      <w:r w:rsidRPr="00CA400C">
        <w:rPr>
          <w:b/>
          <w:szCs w:val="20"/>
        </w:rPr>
        <w:fldChar w:fldCharType="begin">
          <w:ffData>
            <w:name w:val="Check2"/>
            <w:enabled/>
            <w:calcOnExit w:val="0"/>
            <w:checkBox>
              <w:sizeAuto/>
              <w:default w:val="0"/>
            </w:checkBox>
          </w:ffData>
        </w:fldChar>
      </w:r>
      <w:r w:rsidRPr="00CA400C">
        <w:rPr>
          <w:b/>
          <w:szCs w:val="20"/>
        </w:rPr>
        <w:instrText xml:space="preserve"> FORMCHECKBOX </w:instrText>
      </w:r>
      <w:r w:rsidR="00236EB6">
        <w:rPr>
          <w:b/>
          <w:szCs w:val="20"/>
        </w:rPr>
      </w:r>
      <w:r w:rsidR="00236EB6">
        <w:rPr>
          <w:b/>
          <w:szCs w:val="20"/>
        </w:rPr>
        <w:fldChar w:fldCharType="separate"/>
      </w:r>
      <w:r w:rsidRPr="00CA400C">
        <w:rPr>
          <w:b/>
          <w:szCs w:val="20"/>
        </w:rPr>
        <w:fldChar w:fldCharType="end"/>
      </w:r>
      <w:r w:rsidRPr="00CA400C">
        <w:rPr>
          <w:b/>
          <w:szCs w:val="20"/>
        </w:rPr>
        <w:t xml:space="preserve"> </w:t>
      </w:r>
      <w:r w:rsidRPr="00CA400C">
        <w:t>Therapeutic medical service</w:t>
      </w:r>
    </w:p>
    <w:p w14:paraId="2ECA9AC5" w14:textId="77777777" w:rsidR="00A6594E" w:rsidRPr="00CA400C" w:rsidRDefault="00A6594E" w:rsidP="00A6491A">
      <w:pPr>
        <w:spacing w:before="0" w:after="0"/>
        <w:ind w:left="284"/>
      </w:pPr>
      <w:r w:rsidRPr="00CA400C">
        <w:rPr>
          <w:b/>
          <w:szCs w:val="20"/>
        </w:rPr>
        <w:fldChar w:fldCharType="begin">
          <w:ffData>
            <w:name w:val="Check2"/>
            <w:enabled/>
            <w:calcOnExit w:val="0"/>
            <w:checkBox>
              <w:sizeAuto/>
              <w:default w:val="0"/>
            </w:checkBox>
          </w:ffData>
        </w:fldChar>
      </w:r>
      <w:r w:rsidRPr="00CA400C">
        <w:rPr>
          <w:b/>
          <w:szCs w:val="20"/>
        </w:rPr>
        <w:instrText xml:space="preserve"> FORMCHECKBOX </w:instrText>
      </w:r>
      <w:r w:rsidR="00236EB6">
        <w:rPr>
          <w:b/>
          <w:szCs w:val="20"/>
        </w:rPr>
      </w:r>
      <w:r w:rsidR="00236EB6">
        <w:rPr>
          <w:b/>
          <w:szCs w:val="20"/>
        </w:rPr>
        <w:fldChar w:fldCharType="separate"/>
      </w:r>
      <w:r w:rsidRPr="00CA400C">
        <w:rPr>
          <w:b/>
          <w:szCs w:val="20"/>
        </w:rPr>
        <w:fldChar w:fldCharType="end"/>
      </w:r>
      <w:r w:rsidRPr="00CA400C">
        <w:rPr>
          <w:b/>
          <w:szCs w:val="20"/>
        </w:rPr>
        <w:t xml:space="preserve"> </w:t>
      </w:r>
      <w:r w:rsidRPr="00CA400C">
        <w:t>Investigative medical service</w:t>
      </w:r>
    </w:p>
    <w:p w14:paraId="2DA05381" w14:textId="77777777" w:rsidR="00A6594E" w:rsidRPr="00CA400C" w:rsidRDefault="00A6594E" w:rsidP="00A6491A">
      <w:pPr>
        <w:spacing w:before="0" w:after="0"/>
        <w:ind w:left="284"/>
      </w:pPr>
      <w:r w:rsidRPr="00CA400C">
        <w:rPr>
          <w:b/>
          <w:szCs w:val="20"/>
        </w:rPr>
        <w:fldChar w:fldCharType="begin">
          <w:ffData>
            <w:name w:val="Check2"/>
            <w:enabled/>
            <w:calcOnExit w:val="0"/>
            <w:checkBox>
              <w:sizeAuto/>
              <w:default w:val="0"/>
            </w:checkBox>
          </w:ffData>
        </w:fldChar>
      </w:r>
      <w:r w:rsidRPr="00CA400C">
        <w:rPr>
          <w:b/>
          <w:szCs w:val="20"/>
        </w:rPr>
        <w:instrText xml:space="preserve"> FORMCHECKBOX </w:instrText>
      </w:r>
      <w:r w:rsidR="00236EB6">
        <w:rPr>
          <w:b/>
          <w:szCs w:val="20"/>
        </w:rPr>
      </w:r>
      <w:r w:rsidR="00236EB6">
        <w:rPr>
          <w:b/>
          <w:szCs w:val="20"/>
        </w:rPr>
        <w:fldChar w:fldCharType="separate"/>
      </w:r>
      <w:r w:rsidRPr="00CA400C">
        <w:rPr>
          <w:b/>
          <w:szCs w:val="20"/>
        </w:rPr>
        <w:fldChar w:fldCharType="end"/>
      </w:r>
      <w:r w:rsidRPr="00CA400C">
        <w:rPr>
          <w:b/>
          <w:szCs w:val="20"/>
        </w:rPr>
        <w:t xml:space="preserve"> </w:t>
      </w:r>
      <w:r w:rsidRPr="00CA400C">
        <w:t>Single consultation medical service</w:t>
      </w:r>
    </w:p>
    <w:p w14:paraId="7AB050D4" w14:textId="77777777" w:rsidR="00A6594E" w:rsidRPr="00CA400C" w:rsidRDefault="00A6594E" w:rsidP="00A6491A">
      <w:pPr>
        <w:spacing w:before="0" w:after="0"/>
        <w:ind w:left="284"/>
      </w:pPr>
      <w:r w:rsidRPr="00CA400C">
        <w:rPr>
          <w:b/>
          <w:szCs w:val="20"/>
        </w:rPr>
        <w:fldChar w:fldCharType="begin">
          <w:ffData>
            <w:name w:val="Check2"/>
            <w:enabled/>
            <w:calcOnExit w:val="0"/>
            <w:checkBox>
              <w:sizeAuto/>
              <w:default w:val="0"/>
            </w:checkBox>
          </w:ffData>
        </w:fldChar>
      </w:r>
      <w:r w:rsidRPr="00CA400C">
        <w:rPr>
          <w:b/>
          <w:szCs w:val="20"/>
        </w:rPr>
        <w:instrText xml:space="preserve"> FORMCHECKBOX </w:instrText>
      </w:r>
      <w:r w:rsidR="00236EB6">
        <w:rPr>
          <w:b/>
          <w:szCs w:val="20"/>
        </w:rPr>
      </w:r>
      <w:r w:rsidR="00236EB6">
        <w:rPr>
          <w:b/>
          <w:szCs w:val="20"/>
        </w:rPr>
        <w:fldChar w:fldCharType="separate"/>
      </w:r>
      <w:r w:rsidRPr="00CA400C">
        <w:rPr>
          <w:b/>
          <w:szCs w:val="20"/>
        </w:rPr>
        <w:fldChar w:fldCharType="end"/>
      </w:r>
      <w:r w:rsidRPr="00CA400C">
        <w:rPr>
          <w:b/>
          <w:szCs w:val="20"/>
        </w:rPr>
        <w:t xml:space="preserve"> </w:t>
      </w:r>
      <w:r w:rsidRPr="00CA400C">
        <w:t>Global consultation medical service</w:t>
      </w:r>
    </w:p>
    <w:p w14:paraId="5919D478" w14:textId="77777777" w:rsidR="00A6594E" w:rsidRPr="00CA400C" w:rsidRDefault="00A6594E" w:rsidP="00A6491A">
      <w:pPr>
        <w:spacing w:before="0" w:after="0"/>
        <w:ind w:left="284"/>
      </w:pPr>
      <w:r w:rsidRPr="00CA400C">
        <w:rPr>
          <w:b/>
          <w:szCs w:val="20"/>
        </w:rPr>
        <w:fldChar w:fldCharType="begin">
          <w:ffData>
            <w:name w:val="Check2"/>
            <w:enabled/>
            <w:calcOnExit w:val="0"/>
            <w:checkBox>
              <w:sizeAuto/>
              <w:default w:val="0"/>
            </w:checkBox>
          </w:ffData>
        </w:fldChar>
      </w:r>
      <w:r w:rsidRPr="00CA400C">
        <w:rPr>
          <w:b/>
          <w:szCs w:val="20"/>
        </w:rPr>
        <w:instrText xml:space="preserve"> FORMCHECKBOX </w:instrText>
      </w:r>
      <w:r w:rsidR="00236EB6">
        <w:rPr>
          <w:b/>
          <w:szCs w:val="20"/>
        </w:rPr>
      </w:r>
      <w:r w:rsidR="00236EB6">
        <w:rPr>
          <w:b/>
          <w:szCs w:val="20"/>
        </w:rPr>
        <w:fldChar w:fldCharType="separate"/>
      </w:r>
      <w:r w:rsidRPr="00CA400C">
        <w:rPr>
          <w:b/>
          <w:szCs w:val="20"/>
        </w:rPr>
        <w:fldChar w:fldCharType="end"/>
      </w:r>
      <w:r w:rsidRPr="00CA400C">
        <w:rPr>
          <w:b/>
          <w:szCs w:val="20"/>
        </w:rPr>
        <w:t xml:space="preserve"> </w:t>
      </w:r>
      <w:r w:rsidRPr="00CA400C">
        <w:t>Allied health service</w:t>
      </w:r>
    </w:p>
    <w:p w14:paraId="4EF8D862" w14:textId="3B7878D8" w:rsidR="00A6594E" w:rsidRPr="00CA400C" w:rsidRDefault="00296DBD" w:rsidP="00A6491A">
      <w:pPr>
        <w:spacing w:before="0" w:after="0"/>
        <w:ind w:left="284"/>
      </w:pPr>
      <w:r w:rsidRPr="00CA400C">
        <w:rPr>
          <w:b/>
          <w:szCs w:val="20"/>
        </w:rPr>
        <w:fldChar w:fldCharType="begin">
          <w:ffData>
            <w:name w:val=""/>
            <w:enabled/>
            <w:calcOnExit w:val="0"/>
            <w:checkBox>
              <w:sizeAuto/>
              <w:default w:val="1"/>
            </w:checkBox>
          </w:ffData>
        </w:fldChar>
      </w:r>
      <w:r w:rsidRPr="00CA400C">
        <w:rPr>
          <w:b/>
          <w:szCs w:val="20"/>
        </w:rPr>
        <w:instrText xml:space="preserve"> FORMCHECKBOX </w:instrText>
      </w:r>
      <w:r w:rsidR="00236EB6">
        <w:rPr>
          <w:b/>
          <w:szCs w:val="20"/>
        </w:rPr>
      </w:r>
      <w:r w:rsidR="00236EB6">
        <w:rPr>
          <w:b/>
          <w:szCs w:val="20"/>
        </w:rPr>
        <w:fldChar w:fldCharType="separate"/>
      </w:r>
      <w:r w:rsidRPr="00CA400C">
        <w:rPr>
          <w:b/>
          <w:szCs w:val="20"/>
        </w:rPr>
        <w:fldChar w:fldCharType="end"/>
      </w:r>
      <w:r w:rsidR="00A6594E" w:rsidRPr="00CA400C">
        <w:rPr>
          <w:b/>
          <w:szCs w:val="20"/>
        </w:rPr>
        <w:t xml:space="preserve"> </w:t>
      </w:r>
      <w:r w:rsidR="00A6594E" w:rsidRPr="00CA400C">
        <w:t>Co</w:t>
      </w:r>
      <w:r w:rsidR="00B25D32" w:rsidRPr="00CA400C">
        <w:noBreakHyphen/>
      </w:r>
      <w:r w:rsidR="00A6594E" w:rsidRPr="00CA400C">
        <w:t>dependent technology</w:t>
      </w:r>
    </w:p>
    <w:p w14:paraId="3B920ACF" w14:textId="77777777" w:rsidR="00A6594E" w:rsidRPr="00CA400C" w:rsidRDefault="00A6594E" w:rsidP="00A6491A">
      <w:pPr>
        <w:spacing w:before="0" w:after="0"/>
        <w:ind w:left="284"/>
      </w:pPr>
      <w:r w:rsidRPr="00CA400C">
        <w:rPr>
          <w:b/>
          <w:szCs w:val="20"/>
        </w:rPr>
        <w:fldChar w:fldCharType="begin">
          <w:ffData>
            <w:name w:val="Check2"/>
            <w:enabled/>
            <w:calcOnExit w:val="0"/>
            <w:checkBox>
              <w:sizeAuto/>
              <w:default w:val="0"/>
            </w:checkBox>
          </w:ffData>
        </w:fldChar>
      </w:r>
      <w:r w:rsidRPr="00CA400C">
        <w:rPr>
          <w:b/>
          <w:szCs w:val="20"/>
        </w:rPr>
        <w:instrText xml:space="preserve"> FORMCHECKBOX </w:instrText>
      </w:r>
      <w:r w:rsidR="00236EB6">
        <w:rPr>
          <w:b/>
          <w:szCs w:val="20"/>
        </w:rPr>
      </w:r>
      <w:r w:rsidR="00236EB6">
        <w:rPr>
          <w:b/>
          <w:szCs w:val="20"/>
        </w:rPr>
        <w:fldChar w:fldCharType="separate"/>
      </w:r>
      <w:r w:rsidRPr="00CA400C">
        <w:rPr>
          <w:b/>
          <w:szCs w:val="20"/>
        </w:rPr>
        <w:fldChar w:fldCharType="end"/>
      </w:r>
      <w:r w:rsidRPr="00CA400C">
        <w:rPr>
          <w:b/>
          <w:szCs w:val="20"/>
        </w:rPr>
        <w:t xml:space="preserve"> </w:t>
      </w:r>
      <w:r w:rsidRPr="00CA400C">
        <w:t>Hybrid health technology</w:t>
      </w:r>
    </w:p>
    <w:p w14:paraId="6CB56D8E" w14:textId="77777777" w:rsidR="00124B00" w:rsidRPr="00CA400C" w:rsidRDefault="00124B00" w:rsidP="00A6491A">
      <w:pPr>
        <w:spacing w:before="0" w:after="0"/>
        <w:ind w:left="284"/>
      </w:pPr>
    </w:p>
    <w:p w14:paraId="0738CFEF" w14:textId="77777777" w:rsidR="0054594B" w:rsidRPr="00CA400C" w:rsidRDefault="0054594B" w:rsidP="00730C04">
      <w:pPr>
        <w:pStyle w:val="Heading2"/>
      </w:pPr>
      <w:r w:rsidRPr="00CA400C">
        <w:t xml:space="preserve">For investigative services, </w:t>
      </w:r>
      <w:r w:rsidR="00154B00" w:rsidRPr="00CA400C">
        <w:t>advise</w:t>
      </w:r>
      <w:r w:rsidRPr="00CA400C">
        <w:t xml:space="preserve"> the specific purpose of performing the service </w:t>
      </w:r>
      <w:r w:rsidRPr="00CA400C">
        <w:rPr>
          <w:i/>
        </w:rPr>
        <w:t>(which could be one or more of the following</w:t>
      </w:r>
      <w:r w:rsidR="00154B00" w:rsidRPr="00CA400C">
        <w:rPr>
          <w:i/>
        </w:rPr>
        <w:t>)</w:t>
      </w:r>
      <w:r w:rsidRPr="00CA400C">
        <w:t>:</w:t>
      </w:r>
    </w:p>
    <w:p w14:paraId="298DB44E" w14:textId="77777777" w:rsidR="00A6594E" w:rsidRPr="00CA400C" w:rsidRDefault="00A6594E" w:rsidP="00AF4466">
      <w:pPr>
        <w:pStyle w:val="ListParagraph"/>
        <w:numPr>
          <w:ilvl w:val="0"/>
          <w:numId w:val="36"/>
        </w:numPr>
        <w:spacing w:before="0" w:after="0"/>
        <w:ind w:left="851" w:hanging="425"/>
      </w:pPr>
      <w:r w:rsidRPr="00CA400C">
        <w:rPr>
          <w:b/>
          <w:szCs w:val="20"/>
        </w:rPr>
        <w:fldChar w:fldCharType="begin">
          <w:ffData>
            <w:name w:val="Check2"/>
            <w:enabled/>
            <w:calcOnExit w:val="0"/>
            <w:checkBox>
              <w:sizeAuto/>
              <w:default w:val="0"/>
            </w:checkBox>
          </w:ffData>
        </w:fldChar>
      </w:r>
      <w:r w:rsidRPr="00CA400C">
        <w:rPr>
          <w:b/>
          <w:szCs w:val="20"/>
        </w:rPr>
        <w:instrText xml:space="preserve"> FORMCHECKBOX </w:instrText>
      </w:r>
      <w:r w:rsidR="00236EB6">
        <w:rPr>
          <w:b/>
          <w:szCs w:val="20"/>
        </w:rPr>
      </w:r>
      <w:r w:rsidR="00236EB6">
        <w:rPr>
          <w:b/>
          <w:szCs w:val="20"/>
        </w:rPr>
        <w:fldChar w:fldCharType="separate"/>
      </w:r>
      <w:r w:rsidRPr="00CA400C">
        <w:rPr>
          <w:b/>
          <w:szCs w:val="20"/>
        </w:rPr>
        <w:fldChar w:fldCharType="end"/>
      </w:r>
      <w:r w:rsidRPr="00CA400C">
        <w:rPr>
          <w:b/>
          <w:szCs w:val="20"/>
        </w:rPr>
        <w:t xml:space="preserve"> </w:t>
      </w:r>
      <w:r w:rsidRPr="00CA400C">
        <w:t xml:space="preserve">To be used as a screening tool in asymptomatic populations </w:t>
      </w:r>
    </w:p>
    <w:p w14:paraId="3C4ADBD1" w14:textId="77777777" w:rsidR="00A6594E" w:rsidRPr="00CA400C" w:rsidRDefault="005512EE" w:rsidP="00AF4466">
      <w:pPr>
        <w:pStyle w:val="ListParagraph"/>
        <w:numPr>
          <w:ilvl w:val="0"/>
          <w:numId w:val="36"/>
        </w:numPr>
        <w:spacing w:before="0" w:after="0"/>
        <w:ind w:left="851" w:hanging="425"/>
      </w:pPr>
      <w:r w:rsidRPr="00CA400C">
        <w:rPr>
          <w:b/>
          <w:szCs w:val="20"/>
        </w:rPr>
        <w:fldChar w:fldCharType="begin">
          <w:ffData>
            <w:name w:val=""/>
            <w:enabled/>
            <w:calcOnExit w:val="0"/>
            <w:checkBox>
              <w:sizeAuto/>
              <w:default w:val="0"/>
            </w:checkBox>
          </w:ffData>
        </w:fldChar>
      </w:r>
      <w:r w:rsidRPr="00CA400C">
        <w:rPr>
          <w:b/>
          <w:szCs w:val="20"/>
        </w:rPr>
        <w:instrText xml:space="preserve"> FORMCHECKBOX </w:instrText>
      </w:r>
      <w:r w:rsidR="00236EB6">
        <w:rPr>
          <w:b/>
          <w:szCs w:val="20"/>
        </w:rPr>
      </w:r>
      <w:r w:rsidR="00236EB6">
        <w:rPr>
          <w:b/>
          <w:szCs w:val="20"/>
        </w:rPr>
        <w:fldChar w:fldCharType="separate"/>
      </w:r>
      <w:r w:rsidRPr="00CA400C">
        <w:rPr>
          <w:b/>
          <w:szCs w:val="20"/>
        </w:rPr>
        <w:fldChar w:fldCharType="end"/>
      </w:r>
      <w:r w:rsidR="00A6594E" w:rsidRPr="00CA400C">
        <w:rPr>
          <w:b/>
          <w:szCs w:val="20"/>
        </w:rPr>
        <w:t xml:space="preserve"> </w:t>
      </w:r>
      <w:r w:rsidR="00A6594E" w:rsidRPr="00CA400C">
        <w:t>Assists in establishing a diagnosis in symptomatic patients</w:t>
      </w:r>
    </w:p>
    <w:p w14:paraId="1EDFC5B5" w14:textId="77777777" w:rsidR="00A6594E" w:rsidRPr="00CA400C" w:rsidRDefault="00A6594E" w:rsidP="00AF4466">
      <w:pPr>
        <w:pStyle w:val="ListParagraph"/>
        <w:numPr>
          <w:ilvl w:val="0"/>
          <w:numId w:val="36"/>
        </w:numPr>
        <w:spacing w:before="0" w:after="0"/>
        <w:ind w:left="851" w:hanging="425"/>
      </w:pPr>
      <w:r w:rsidRPr="00CA400C">
        <w:rPr>
          <w:b/>
          <w:szCs w:val="20"/>
        </w:rPr>
        <w:fldChar w:fldCharType="begin">
          <w:ffData>
            <w:name w:val="Check2"/>
            <w:enabled/>
            <w:calcOnExit w:val="0"/>
            <w:checkBox>
              <w:sizeAuto/>
              <w:default w:val="0"/>
            </w:checkBox>
          </w:ffData>
        </w:fldChar>
      </w:r>
      <w:r w:rsidRPr="00CA400C">
        <w:rPr>
          <w:b/>
          <w:szCs w:val="20"/>
        </w:rPr>
        <w:instrText xml:space="preserve"> FORMCHECKBOX </w:instrText>
      </w:r>
      <w:r w:rsidR="00236EB6">
        <w:rPr>
          <w:b/>
          <w:szCs w:val="20"/>
        </w:rPr>
      </w:r>
      <w:r w:rsidR="00236EB6">
        <w:rPr>
          <w:b/>
          <w:szCs w:val="20"/>
        </w:rPr>
        <w:fldChar w:fldCharType="separate"/>
      </w:r>
      <w:r w:rsidRPr="00CA400C">
        <w:rPr>
          <w:b/>
          <w:szCs w:val="20"/>
        </w:rPr>
        <w:fldChar w:fldCharType="end"/>
      </w:r>
      <w:r w:rsidRPr="00CA400C">
        <w:rPr>
          <w:b/>
          <w:szCs w:val="20"/>
        </w:rPr>
        <w:t xml:space="preserve"> </w:t>
      </w:r>
      <w:r w:rsidRPr="00CA400C">
        <w:t>Provides information about prognosis</w:t>
      </w:r>
    </w:p>
    <w:p w14:paraId="09B06FFF" w14:textId="77777777" w:rsidR="00A6594E" w:rsidRPr="00CA400C" w:rsidRDefault="005512EE" w:rsidP="00AF4466">
      <w:pPr>
        <w:pStyle w:val="ListParagraph"/>
        <w:numPr>
          <w:ilvl w:val="0"/>
          <w:numId w:val="36"/>
        </w:numPr>
        <w:spacing w:before="0" w:after="0"/>
        <w:ind w:left="851" w:hanging="425"/>
      </w:pPr>
      <w:r w:rsidRPr="00CA400C">
        <w:rPr>
          <w:b/>
          <w:szCs w:val="20"/>
        </w:rPr>
        <w:fldChar w:fldCharType="begin">
          <w:ffData>
            <w:name w:val=""/>
            <w:enabled/>
            <w:calcOnExit w:val="0"/>
            <w:checkBox>
              <w:sizeAuto/>
              <w:default w:val="1"/>
            </w:checkBox>
          </w:ffData>
        </w:fldChar>
      </w:r>
      <w:r w:rsidRPr="00CA400C">
        <w:rPr>
          <w:b/>
          <w:szCs w:val="20"/>
        </w:rPr>
        <w:instrText xml:space="preserve"> FORMCHECKBOX </w:instrText>
      </w:r>
      <w:r w:rsidR="00236EB6">
        <w:rPr>
          <w:b/>
          <w:szCs w:val="20"/>
        </w:rPr>
      </w:r>
      <w:r w:rsidR="00236EB6">
        <w:rPr>
          <w:b/>
          <w:szCs w:val="20"/>
        </w:rPr>
        <w:fldChar w:fldCharType="separate"/>
      </w:r>
      <w:r w:rsidRPr="00CA400C">
        <w:rPr>
          <w:b/>
          <w:szCs w:val="20"/>
        </w:rPr>
        <w:fldChar w:fldCharType="end"/>
      </w:r>
      <w:r w:rsidR="00A6594E" w:rsidRPr="00CA400C">
        <w:rPr>
          <w:b/>
          <w:szCs w:val="20"/>
        </w:rPr>
        <w:t xml:space="preserve"> </w:t>
      </w:r>
      <w:r w:rsidR="00A6594E" w:rsidRPr="00CA400C">
        <w:t>Identifies a patient as suitable for therapy by predicting a variation in the effect of the therapy</w:t>
      </w:r>
    </w:p>
    <w:p w14:paraId="50C548CD" w14:textId="77777777" w:rsidR="00F63A62" w:rsidRPr="00CA400C" w:rsidRDefault="00A6594E" w:rsidP="00F63A62">
      <w:pPr>
        <w:pStyle w:val="ListParagraph"/>
        <w:numPr>
          <w:ilvl w:val="0"/>
          <w:numId w:val="36"/>
        </w:numPr>
        <w:spacing w:before="0" w:after="0"/>
        <w:ind w:left="851" w:hanging="425"/>
      </w:pPr>
      <w:r w:rsidRPr="00CA400C">
        <w:rPr>
          <w:b/>
          <w:szCs w:val="20"/>
        </w:rPr>
        <w:fldChar w:fldCharType="begin">
          <w:ffData>
            <w:name w:val="Check2"/>
            <w:enabled/>
            <w:calcOnExit w:val="0"/>
            <w:checkBox>
              <w:sizeAuto/>
              <w:default w:val="0"/>
            </w:checkBox>
          </w:ffData>
        </w:fldChar>
      </w:r>
      <w:r w:rsidRPr="00CA400C">
        <w:rPr>
          <w:b/>
          <w:szCs w:val="20"/>
        </w:rPr>
        <w:instrText xml:space="preserve"> FORMCHECKBOX </w:instrText>
      </w:r>
      <w:r w:rsidR="00236EB6">
        <w:rPr>
          <w:b/>
          <w:szCs w:val="20"/>
        </w:rPr>
      </w:r>
      <w:r w:rsidR="00236EB6">
        <w:rPr>
          <w:b/>
          <w:szCs w:val="20"/>
        </w:rPr>
        <w:fldChar w:fldCharType="separate"/>
      </w:r>
      <w:r w:rsidRPr="00CA400C">
        <w:rPr>
          <w:b/>
          <w:szCs w:val="20"/>
        </w:rPr>
        <w:fldChar w:fldCharType="end"/>
      </w:r>
      <w:r w:rsidRPr="00CA400C">
        <w:rPr>
          <w:b/>
          <w:szCs w:val="20"/>
        </w:rPr>
        <w:t xml:space="preserve"> </w:t>
      </w:r>
      <w:r w:rsidRPr="00CA400C">
        <w:t>Monitors a patient over time to assess treatment response and guide subsequent treatment decisions</w:t>
      </w:r>
    </w:p>
    <w:p w14:paraId="3B86BF08" w14:textId="77777777" w:rsidR="00A6594E" w:rsidRPr="00CA400C" w:rsidRDefault="00F63A62" w:rsidP="00F63A62">
      <w:pPr>
        <w:pStyle w:val="ListParagraph"/>
        <w:numPr>
          <w:ilvl w:val="0"/>
          <w:numId w:val="36"/>
        </w:numPr>
        <w:spacing w:before="0" w:after="0"/>
        <w:ind w:left="851" w:hanging="425"/>
      </w:pPr>
      <w:r w:rsidRPr="00CA400C">
        <w:rPr>
          <w:b/>
          <w:szCs w:val="20"/>
        </w:rPr>
        <w:fldChar w:fldCharType="begin">
          <w:ffData>
            <w:name w:val="Check2"/>
            <w:enabled/>
            <w:calcOnExit w:val="0"/>
            <w:checkBox>
              <w:sizeAuto/>
              <w:default w:val="0"/>
            </w:checkBox>
          </w:ffData>
        </w:fldChar>
      </w:r>
      <w:r w:rsidRPr="00CA400C">
        <w:rPr>
          <w:b/>
          <w:szCs w:val="20"/>
        </w:rPr>
        <w:instrText xml:space="preserve"> FORMCHECKBOX </w:instrText>
      </w:r>
      <w:r w:rsidR="00236EB6">
        <w:rPr>
          <w:b/>
          <w:szCs w:val="20"/>
        </w:rPr>
      </w:r>
      <w:r w:rsidR="00236EB6">
        <w:rPr>
          <w:b/>
          <w:szCs w:val="20"/>
        </w:rPr>
        <w:fldChar w:fldCharType="separate"/>
      </w:r>
      <w:r w:rsidRPr="00CA400C">
        <w:rPr>
          <w:b/>
          <w:szCs w:val="20"/>
        </w:rPr>
        <w:fldChar w:fldCharType="end"/>
      </w:r>
      <w:r w:rsidRPr="00CA400C">
        <w:rPr>
          <w:b/>
          <w:szCs w:val="20"/>
        </w:rPr>
        <w:t xml:space="preserve"> </w:t>
      </w:r>
      <w:r w:rsidRPr="00CA400C">
        <w:t xml:space="preserve">Is for genetic testing </w:t>
      </w:r>
      <w:r w:rsidR="0050517E" w:rsidRPr="00CA400C">
        <w:t>for</w:t>
      </w:r>
      <w:r w:rsidRPr="00CA400C">
        <w:t xml:space="preserve"> heritable mutations </w:t>
      </w:r>
      <w:r w:rsidR="0050517E" w:rsidRPr="00CA400C">
        <w:t>in</w:t>
      </w:r>
      <w:r w:rsidRPr="00CA400C">
        <w:t xml:space="preserve"> clinically affected individuals and</w:t>
      </w:r>
      <w:r w:rsidR="0050517E" w:rsidRPr="00CA400C">
        <w:t>,</w:t>
      </w:r>
      <w:r w:rsidRPr="00CA400C">
        <w:t xml:space="preserve"> </w:t>
      </w:r>
      <w:r w:rsidR="0050517E" w:rsidRPr="00CA400C">
        <w:t>when also appropriate,</w:t>
      </w:r>
      <w:r w:rsidRPr="00CA400C">
        <w:t xml:space="preserve"> </w:t>
      </w:r>
      <w:r w:rsidR="0050517E" w:rsidRPr="00CA400C">
        <w:t xml:space="preserve">in </w:t>
      </w:r>
      <w:r w:rsidRPr="00CA400C">
        <w:t xml:space="preserve">family members of those individuals who test positive for one or more </w:t>
      </w:r>
      <w:r w:rsidR="0050517E" w:rsidRPr="00CA400C">
        <w:t xml:space="preserve">relevant </w:t>
      </w:r>
      <w:r w:rsidRPr="00CA400C">
        <w:t xml:space="preserve">mutations (and thus for which the Clinical Utility Card </w:t>
      </w:r>
      <w:proofErr w:type="spellStart"/>
      <w:r w:rsidRPr="00CA400C">
        <w:t>proforma</w:t>
      </w:r>
      <w:proofErr w:type="spellEnd"/>
      <w:r w:rsidRPr="00CA400C">
        <w:t xml:space="preserve"> might apply)</w:t>
      </w:r>
    </w:p>
    <w:p w14:paraId="3B5B7896" w14:textId="77777777" w:rsidR="002A40AE" w:rsidRPr="00CA400C" w:rsidRDefault="002A40AE" w:rsidP="002F55EF">
      <w:pPr>
        <w:spacing w:before="0" w:after="0"/>
      </w:pPr>
    </w:p>
    <w:p w14:paraId="3F2DF4CC" w14:textId="77777777" w:rsidR="000B3CD0" w:rsidRPr="00CA400C" w:rsidRDefault="000B3CD0" w:rsidP="0002328A">
      <w:pPr>
        <w:pStyle w:val="Heading2"/>
        <w:keepNext/>
        <w:ind w:left="357" w:hanging="357"/>
      </w:pPr>
      <w:r w:rsidRPr="00CA400C">
        <w:lastRenderedPageBreak/>
        <w:t xml:space="preserve">Does </w:t>
      </w:r>
      <w:r w:rsidR="00C209C2" w:rsidRPr="00CA400C">
        <w:t>your</w:t>
      </w:r>
      <w:r w:rsidRPr="00CA400C">
        <w:t xml:space="preserve"> service rely on another medical </w:t>
      </w:r>
      <w:r w:rsidR="001E1180" w:rsidRPr="00CA400C">
        <w:t>product</w:t>
      </w:r>
      <w:r w:rsidRPr="00CA400C">
        <w:t xml:space="preserve"> to achieve or to enhance its intended effect?</w:t>
      </w:r>
    </w:p>
    <w:p w14:paraId="61151BEF" w14:textId="77777777" w:rsidR="00FE16C1" w:rsidRPr="00CA400C" w:rsidRDefault="0074029A" w:rsidP="00A6491A">
      <w:pPr>
        <w:spacing w:before="0" w:after="0"/>
        <w:ind w:left="284"/>
      </w:pPr>
      <w:r w:rsidRPr="00CA400C">
        <w:rPr>
          <w:b/>
          <w:szCs w:val="20"/>
        </w:rPr>
        <w:fldChar w:fldCharType="begin">
          <w:ffData>
            <w:name w:val=""/>
            <w:enabled/>
            <w:calcOnExit w:val="0"/>
            <w:checkBox>
              <w:sizeAuto/>
              <w:default w:val="1"/>
            </w:checkBox>
          </w:ffData>
        </w:fldChar>
      </w:r>
      <w:r w:rsidRPr="00CA400C">
        <w:rPr>
          <w:b/>
          <w:szCs w:val="20"/>
        </w:rPr>
        <w:instrText xml:space="preserve"> FORMCHECKBOX </w:instrText>
      </w:r>
      <w:r w:rsidR="00236EB6">
        <w:rPr>
          <w:b/>
          <w:szCs w:val="20"/>
        </w:rPr>
      </w:r>
      <w:r w:rsidR="00236EB6">
        <w:rPr>
          <w:b/>
          <w:szCs w:val="20"/>
        </w:rPr>
        <w:fldChar w:fldCharType="separate"/>
      </w:r>
      <w:r w:rsidRPr="00CA400C">
        <w:rPr>
          <w:b/>
          <w:szCs w:val="20"/>
        </w:rPr>
        <w:fldChar w:fldCharType="end"/>
      </w:r>
      <w:r w:rsidR="00FE16C1" w:rsidRPr="00CA400C">
        <w:rPr>
          <w:b/>
          <w:szCs w:val="20"/>
        </w:rPr>
        <w:t xml:space="preserve"> </w:t>
      </w:r>
      <w:r w:rsidR="00FE16C1" w:rsidRPr="00CA400C">
        <w:t>Pharmaceutical/</w:t>
      </w:r>
      <w:r w:rsidR="001715E2" w:rsidRPr="00CA400C">
        <w:t>b</w:t>
      </w:r>
      <w:r w:rsidR="00FE16C1" w:rsidRPr="00CA400C">
        <w:t>iological</w:t>
      </w:r>
    </w:p>
    <w:p w14:paraId="01DD9A43" w14:textId="77777777" w:rsidR="00FE16C1" w:rsidRPr="00CA400C" w:rsidRDefault="00FE16C1" w:rsidP="00A6491A">
      <w:pPr>
        <w:spacing w:before="0" w:after="0"/>
        <w:ind w:left="284"/>
      </w:pPr>
      <w:r w:rsidRPr="00CA400C">
        <w:rPr>
          <w:b/>
          <w:szCs w:val="20"/>
        </w:rPr>
        <w:fldChar w:fldCharType="begin">
          <w:ffData>
            <w:name w:val="Check2"/>
            <w:enabled/>
            <w:calcOnExit w:val="0"/>
            <w:checkBox>
              <w:sizeAuto/>
              <w:default w:val="0"/>
            </w:checkBox>
          </w:ffData>
        </w:fldChar>
      </w:r>
      <w:r w:rsidRPr="00CA400C">
        <w:rPr>
          <w:b/>
          <w:szCs w:val="20"/>
        </w:rPr>
        <w:instrText xml:space="preserve"> FORMCHECKBOX </w:instrText>
      </w:r>
      <w:r w:rsidR="00236EB6">
        <w:rPr>
          <w:b/>
          <w:szCs w:val="20"/>
        </w:rPr>
      </w:r>
      <w:r w:rsidR="00236EB6">
        <w:rPr>
          <w:b/>
          <w:szCs w:val="20"/>
        </w:rPr>
        <w:fldChar w:fldCharType="separate"/>
      </w:r>
      <w:r w:rsidRPr="00CA400C">
        <w:rPr>
          <w:b/>
          <w:szCs w:val="20"/>
        </w:rPr>
        <w:fldChar w:fldCharType="end"/>
      </w:r>
      <w:r w:rsidRPr="00CA400C">
        <w:rPr>
          <w:b/>
          <w:szCs w:val="20"/>
        </w:rPr>
        <w:t xml:space="preserve"> </w:t>
      </w:r>
      <w:r w:rsidRPr="00CA400C">
        <w:t>Prosthesis or device</w:t>
      </w:r>
    </w:p>
    <w:p w14:paraId="2D73A82D" w14:textId="77777777" w:rsidR="00FE16C1" w:rsidRPr="00CA400C" w:rsidRDefault="0074029A" w:rsidP="00A6491A">
      <w:pPr>
        <w:spacing w:before="0" w:after="0"/>
        <w:ind w:left="284"/>
      </w:pPr>
      <w:r w:rsidRPr="00CA400C">
        <w:rPr>
          <w:b/>
          <w:szCs w:val="20"/>
        </w:rPr>
        <w:fldChar w:fldCharType="begin">
          <w:ffData>
            <w:name w:val=""/>
            <w:enabled/>
            <w:calcOnExit w:val="0"/>
            <w:checkBox>
              <w:sizeAuto/>
              <w:default w:val="0"/>
            </w:checkBox>
          </w:ffData>
        </w:fldChar>
      </w:r>
      <w:r w:rsidRPr="00CA400C">
        <w:rPr>
          <w:b/>
          <w:szCs w:val="20"/>
        </w:rPr>
        <w:instrText xml:space="preserve"> FORMCHECKBOX </w:instrText>
      </w:r>
      <w:r w:rsidR="00236EB6">
        <w:rPr>
          <w:b/>
          <w:szCs w:val="20"/>
        </w:rPr>
      </w:r>
      <w:r w:rsidR="00236EB6">
        <w:rPr>
          <w:b/>
          <w:szCs w:val="20"/>
        </w:rPr>
        <w:fldChar w:fldCharType="separate"/>
      </w:r>
      <w:r w:rsidRPr="00CA400C">
        <w:rPr>
          <w:b/>
          <w:szCs w:val="20"/>
        </w:rPr>
        <w:fldChar w:fldCharType="end"/>
      </w:r>
      <w:r w:rsidR="00FE16C1" w:rsidRPr="00CA400C">
        <w:rPr>
          <w:b/>
          <w:szCs w:val="20"/>
        </w:rPr>
        <w:t xml:space="preserve"> </w:t>
      </w:r>
      <w:r w:rsidR="00FE16C1" w:rsidRPr="00CA400C">
        <w:t>No</w:t>
      </w:r>
      <w:r w:rsidR="00B22703" w:rsidRPr="00CA400C">
        <w:t xml:space="preserve"> </w:t>
      </w:r>
    </w:p>
    <w:p w14:paraId="490783CA" w14:textId="77777777" w:rsidR="00AE2E22" w:rsidRPr="00CA400C" w:rsidRDefault="00AE2E22" w:rsidP="00A6491A">
      <w:pPr>
        <w:spacing w:before="0" w:after="0"/>
        <w:ind w:left="284"/>
      </w:pPr>
    </w:p>
    <w:p w14:paraId="4057CB21" w14:textId="77777777" w:rsidR="000E5439" w:rsidRPr="00CA400C" w:rsidRDefault="00530204" w:rsidP="00730C04">
      <w:pPr>
        <w:pStyle w:val="Heading2"/>
      </w:pPr>
      <w:r w:rsidRPr="00CA400C">
        <w:t xml:space="preserve">(a)  </w:t>
      </w:r>
      <w:r w:rsidR="000E5439" w:rsidRPr="00CA400C">
        <w:t>If the proposed service has a pharmaceutical component to it, is it already covered under an existing Pharmaceutical Benefits Scheme (PBS) listing?</w:t>
      </w:r>
    </w:p>
    <w:p w14:paraId="0318764D" w14:textId="77777777" w:rsidR="00FE16C1" w:rsidRPr="00CA400C" w:rsidRDefault="00FE16C1" w:rsidP="00A6491A">
      <w:pPr>
        <w:spacing w:before="0" w:after="0"/>
        <w:ind w:left="284"/>
        <w:rPr>
          <w:szCs w:val="20"/>
        </w:rPr>
      </w:pPr>
      <w:r w:rsidRPr="00CA400C">
        <w:rPr>
          <w:szCs w:val="20"/>
        </w:rPr>
        <w:fldChar w:fldCharType="begin">
          <w:ffData>
            <w:name w:val="Check1"/>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Pr="00CA400C">
        <w:rPr>
          <w:szCs w:val="20"/>
        </w:rPr>
        <w:t xml:space="preserve"> Yes</w:t>
      </w:r>
    </w:p>
    <w:p w14:paraId="5C7F1C1F" w14:textId="77777777" w:rsidR="00FE16C1" w:rsidRPr="00CA400C" w:rsidRDefault="00872FB1" w:rsidP="00A6491A">
      <w:pPr>
        <w:spacing w:before="0" w:after="0"/>
        <w:ind w:left="284"/>
        <w:rPr>
          <w:szCs w:val="20"/>
        </w:rPr>
      </w:pPr>
      <w:r w:rsidRPr="00CA400C">
        <w:rPr>
          <w:szCs w:val="20"/>
        </w:rPr>
        <w:fldChar w:fldCharType="begin">
          <w:ffData>
            <w:name w:val=""/>
            <w:enabled/>
            <w:calcOnExit w:val="0"/>
            <w:checkBox>
              <w:sizeAuto/>
              <w:default w:val="1"/>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00FE16C1" w:rsidRPr="00CA400C">
        <w:rPr>
          <w:szCs w:val="20"/>
        </w:rPr>
        <w:t xml:space="preserve"> No  </w:t>
      </w:r>
    </w:p>
    <w:p w14:paraId="1366BB4A" w14:textId="77777777" w:rsidR="00EC127A" w:rsidRPr="00CA400C" w:rsidRDefault="000E5439" w:rsidP="00530204">
      <w:pPr>
        <w:pStyle w:val="Heading2"/>
        <w:numPr>
          <w:ilvl w:val="0"/>
          <w:numId w:val="25"/>
        </w:numPr>
      </w:pPr>
      <w:r w:rsidRPr="00CA400C">
        <w:t xml:space="preserve">If yes, </w:t>
      </w:r>
      <w:r w:rsidR="00BB003A" w:rsidRPr="00CA400C">
        <w:t>please list</w:t>
      </w:r>
      <w:r w:rsidRPr="00CA400C">
        <w:t xml:space="preserve"> the</w:t>
      </w:r>
      <w:r w:rsidR="00BB003A" w:rsidRPr="00CA400C">
        <w:t xml:space="preserve"> relevant</w:t>
      </w:r>
      <w:r w:rsidRPr="00CA400C">
        <w:t xml:space="preserve"> PBS </w:t>
      </w:r>
      <w:r w:rsidR="001E23EA" w:rsidRPr="00CA400C">
        <w:t>item code</w:t>
      </w:r>
      <w:r w:rsidRPr="00CA400C">
        <w:t>(s)</w:t>
      </w:r>
      <w:r w:rsidR="007E39E4" w:rsidRPr="00CA400C">
        <w:t>:</w:t>
      </w:r>
    </w:p>
    <w:p w14:paraId="672BD12F" w14:textId="77777777" w:rsidR="0019484C" w:rsidRPr="00CA400C" w:rsidRDefault="00DA238D" w:rsidP="00DA238D">
      <w:pPr>
        <w:ind w:left="360"/>
        <w:rPr>
          <w:b/>
          <w:szCs w:val="20"/>
        </w:rPr>
      </w:pPr>
      <w:r w:rsidRPr="00CA400C">
        <w:t>Not applicable</w:t>
      </w:r>
    </w:p>
    <w:p w14:paraId="1704E6F9" w14:textId="77777777" w:rsidR="00411735" w:rsidRPr="00CA400C" w:rsidRDefault="00411735" w:rsidP="00530204">
      <w:pPr>
        <w:pStyle w:val="Heading2"/>
        <w:numPr>
          <w:ilvl w:val="0"/>
          <w:numId w:val="25"/>
        </w:numPr>
      </w:pPr>
      <w:r w:rsidRPr="00CA400C">
        <w:t xml:space="preserve">If no, is an application </w:t>
      </w:r>
      <w:r w:rsidR="001E23EA" w:rsidRPr="00CA400C">
        <w:t xml:space="preserve">(submission) </w:t>
      </w:r>
      <w:r w:rsidRPr="00CA400C">
        <w:t xml:space="preserve">in the process of being considered by the </w:t>
      </w:r>
      <w:r w:rsidR="00802553" w:rsidRPr="00CA400C">
        <w:t>Pharmaceutical Benefits Advisory Committee (</w:t>
      </w:r>
      <w:r w:rsidRPr="00CA400C">
        <w:t>PBAC</w:t>
      </w:r>
      <w:r w:rsidR="00802553" w:rsidRPr="00CA400C">
        <w:t>)</w:t>
      </w:r>
      <w:r w:rsidRPr="00CA400C">
        <w:t>?</w:t>
      </w:r>
    </w:p>
    <w:p w14:paraId="321D8B57" w14:textId="77777777" w:rsidR="007E39E4" w:rsidRPr="00CA400C" w:rsidRDefault="007E39E4" w:rsidP="00A6491A">
      <w:pPr>
        <w:spacing w:before="0" w:after="0"/>
        <w:ind w:left="284"/>
        <w:rPr>
          <w:szCs w:val="20"/>
        </w:rPr>
      </w:pPr>
      <w:r w:rsidRPr="00CA400C">
        <w:rPr>
          <w:szCs w:val="20"/>
        </w:rPr>
        <w:fldChar w:fldCharType="begin">
          <w:ffData>
            <w:name w:val="Check1"/>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Pr="00CA400C">
        <w:rPr>
          <w:szCs w:val="20"/>
        </w:rPr>
        <w:t xml:space="preserve"> Yes</w:t>
      </w:r>
      <w:r w:rsidR="001E6919" w:rsidRPr="00CA400C">
        <w:rPr>
          <w:szCs w:val="20"/>
        </w:rPr>
        <w:t xml:space="preserve"> (please provide PBAC submission item number below)</w:t>
      </w:r>
    </w:p>
    <w:p w14:paraId="32775AE1" w14:textId="77777777" w:rsidR="001E6919" w:rsidRPr="00CA400C" w:rsidRDefault="00872FB1" w:rsidP="001E6919">
      <w:pPr>
        <w:spacing w:before="0"/>
        <w:ind w:left="284"/>
        <w:rPr>
          <w:szCs w:val="20"/>
        </w:rPr>
      </w:pPr>
      <w:r w:rsidRPr="00CA400C">
        <w:rPr>
          <w:szCs w:val="20"/>
        </w:rPr>
        <w:fldChar w:fldCharType="begin">
          <w:ffData>
            <w:name w:val=""/>
            <w:enabled/>
            <w:calcOnExit w:val="0"/>
            <w:checkBox>
              <w:sizeAuto/>
              <w:default w:val="1"/>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001E6919" w:rsidRPr="00CA400C">
        <w:rPr>
          <w:szCs w:val="20"/>
        </w:rPr>
        <w:t xml:space="preserve"> No</w:t>
      </w:r>
    </w:p>
    <w:p w14:paraId="3B6068FD" w14:textId="59EB4C6D" w:rsidR="009D441B" w:rsidRPr="00CA400C" w:rsidRDefault="009D441B" w:rsidP="009D441B">
      <w:pPr>
        <w:ind w:left="284"/>
        <w:rPr>
          <w:szCs w:val="20"/>
        </w:rPr>
      </w:pPr>
      <w:r w:rsidRPr="00CA400C">
        <w:rPr>
          <w:szCs w:val="20"/>
        </w:rPr>
        <w:t>It is expected that two PBAC/MSAC co</w:t>
      </w:r>
      <w:r w:rsidRPr="00CA400C">
        <w:rPr>
          <w:szCs w:val="20"/>
        </w:rPr>
        <w:noBreakHyphen/>
        <w:t xml:space="preserve">dependent submissions will follow this application (pending the outcome of ongoing clinical trials). The first will seek MBS reimbursement of PD-L1 testing plus </w:t>
      </w:r>
      <w:r w:rsidR="001A15E9" w:rsidRPr="00CA400C">
        <w:rPr>
          <w:szCs w:val="20"/>
        </w:rPr>
        <w:t xml:space="preserve">PBS reimbursement of </w:t>
      </w:r>
      <w:proofErr w:type="spellStart"/>
      <w:r w:rsidRPr="00CA400C">
        <w:rPr>
          <w:szCs w:val="20"/>
        </w:rPr>
        <w:t>durvalumab</w:t>
      </w:r>
      <w:proofErr w:type="spellEnd"/>
      <w:r w:rsidRPr="00CA400C">
        <w:rPr>
          <w:szCs w:val="20"/>
        </w:rPr>
        <w:t xml:space="preserve"> ± </w:t>
      </w:r>
      <w:proofErr w:type="spellStart"/>
      <w:r w:rsidRPr="00CA400C">
        <w:rPr>
          <w:szCs w:val="20"/>
        </w:rPr>
        <w:t>tremelimumab</w:t>
      </w:r>
      <w:proofErr w:type="spellEnd"/>
      <w:r w:rsidRPr="00CA400C">
        <w:rPr>
          <w:szCs w:val="20"/>
        </w:rPr>
        <w:t xml:space="preserve"> for metastatic or recurrent unresectable SCCHN that has progressed on or shortly after treatment with platinum</w:t>
      </w:r>
      <w:r w:rsidRPr="00CA400C">
        <w:rPr>
          <w:szCs w:val="20"/>
        </w:rPr>
        <w:noBreakHyphen/>
        <w:t>based chemotherapy (second</w:t>
      </w:r>
      <w:r w:rsidRPr="00CA400C">
        <w:rPr>
          <w:szCs w:val="20"/>
        </w:rPr>
        <w:noBreakHyphen/>
        <w:t xml:space="preserve">line treatment). The second submission will request PBS/MBS listing </w:t>
      </w:r>
      <w:r w:rsidR="001A15E9" w:rsidRPr="00CA400C">
        <w:rPr>
          <w:szCs w:val="20"/>
        </w:rPr>
        <w:t xml:space="preserve">of PD-L1 testing and </w:t>
      </w:r>
      <w:proofErr w:type="spellStart"/>
      <w:r w:rsidR="001A15E9" w:rsidRPr="00CA400C">
        <w:rPr>
          <w:szCs w:val="20"/>
        </w:rPr>
        <w:t>durvalumab</w:t>
      </w:r>
      <w:proofErr w:type="spellEnd"/>
      <w:r w:rsidR="001A15E9" w:rsidRPr="00CA400C">
        <w:rPr>
          <w:szCs w:val="20"/>
        </w:rPr>
        <w:t xml:space="preserve"> ± </w:t>
      </w:r>
      <w:proofErr w:type="spellStart"/>
      <w:r w:rsidR="001A15E9" w:rsidRPr="00CA400C">
        <w:rPr>
          <w:szCs w:val="20"/>
        </w:rPr>
        <w:t>tremelimumab</w:t>
      </w:r>
      <w:proofErr w:type="spellEnd"/>
      <w:r w:rsidR="001A15E9" w:rsidRPr="00CA400C">
        <w:rPr>
          <w:szCs w:val="20"/>
        </w:rPr>
        <w:t xml:space="preserve"> </w:t>
      </w:r>
      <w:r w:rsidRPr="00CA400C">
        <w:rPr>
          <w:szCs w:val="20"/>
        </w:rPr>
        <w:t>for first</w:t>
      </w:r>
      <w:r w:rsidRPr="00CA400C">
        <w:rPr>
          <w:szCs w:val="20"/>
        </w:rPr>
        <w:noBreakHyphen/>
        <w:t>line treatment of unresectable recurrent or metastatic SCCHN. The two submissions will be submitted separately and will be based on different data sets.</w:t>
      </w:r>
    </w:p>
    <w:p w14:paraId="7CA87784" w14:textId="70A93205" w:rsidR="009D441B" w:rsidRPr="00CA400C" w:rsidRDefault="009D441B" w:rsidP="009D441B">
      <w:pPr>
        <w:ind w:left="284"/>
      </w:pPr>
      <w:r w:rsidRPr="00CA400C">
        <w:rPr>
          <w:szCs w:val="20"/>
        </w:rPr>
        <w:t>However, because the timing of these planned submissions will be very close (currently expected to be one PBAC</w:t>
      </w:r>
      <w:r w:rsidR="005D414A" w:rsidRPr="00CA400C">
        <w:rPr>
          <w:szCs w:val="20"/>
        </w:rPr>
        <w:t>/MSAC</w:t>
      </w:r>
      <w:r w:rsidRPr="00CA400C">
        <w:rPr>
          <w:szCs w:val="20"/>
        </w:rPr>
        <w:t xml:space="preserve"> cycle apart), this application requests MBS listing for PD</w:t>
      </w:r>
      <w:r w:rsidRPr="00CA400C">
        <w:rPr>
          <w:szCs w:val="20"/>
        </w:rPr>
        <w:noBreakHyphen/>
        <w:t xml:space="preserve">L1 testing of patients who present with </w:t>
      </w:r>
      <w:r w:rsidR="001A15E9" w:rsidRPr="00CA400C">
        <w:rPr>
          <w:szCs w:val="20"/>
        </w:rPr>
        <w:t xml:space="preserve">unresectable </w:t>
      </w:r>
      <w:r w:rsidRPr="00CA400C">
        <w:rPr>
          <w:szCs w:val="20"/>
        </w:rPr>
        <w:t xml:space="preserve">recurrent or metastatic disease to inform PD-L1 expression rate for treatment with </w:t>
      </w:r>
      <w:proofErr w:type="spellStart"/>
      <w:r w:rsidRPr="00CA400C">
        <w:rPr>
          <w:szCs w:val="20"/>
        </w:rPr>
        <w:t>durvalumab</w:t>
      </w:r>
      <w:proofErr w:type="spellEnd"/>
      <w:r w:rsidRPr="00CA400C">
        <w:rPr>
          <w:szCs w:val="20"/>
        </w:rPr>
        <w:t xml:space="preserve"> ± </w:t>
      </w:r>
      <w:proofErr w:type="spellStart"/>
      <w:r w:rsidRPr="00CA400C">
        <w:rPr>
          <w:szCs w:val="20"/>
        </w:rPr>
        <w:t>tremelimumab</w:t>
      </w:r>
      <w:proofErr w:type="spellEnd"/>
      <w:r w:rsidRPr="00CA400C">
        <w:rPr>
          <w:szCs w:val="20"/>
        </w:rPr>
        <w:t xml:space="preserve"> in </w:t>
      </w:r>
      <w:r w:rsidR="005D414A" w:rsidRPr="00CA400C">
        <w:rPr>
          <w:szCs w:val="20"/>
        </w:rPr>
        <w:t>either</w:t>
      </w:r>
      <w:r w:rsidRPr="00CA400C">
        <w:rPr>
          <w:szCs w:val="20"/>
        </w:rPr>
        <w:t xml:space="preserve"> the first</w:t>
      </w:r>
      <w:r w:rsidRPr="00CA400C">
        <w:rPr>
          <w:szCs w:val="20"/>
        </w:rPr>
        <w:noBreakHyphen/>
        <w:t xml:space="preserve">line </w:t>
      </w:r>
      <w:r w:rsidR="005D414A" w:rsidRPr="00CA400C">
        <w:rPr>
          <w:szCs w:val="20"/>
        </w:rPr>
        <w:t xml:space="preserve">or </w:t>
      </w:r>
      <w:r w:rsidRPr="00CA400C">
        <w:rPr>
          <w:szCs w:val="20"/>
        </w:rPr>
        <w:t>second</w:t>
      </w:r>
      <w:r w:rsidRPr="00CA400C">
        <w:rPr>
          <w:szCs w:val="20"/>
        </w:rPr>
        <w:noBreakHyphen/>
        <w:t>line settings (</w:t>
      </w:r>
      <w:r w:rsidRPr="00CA400C">
        <w:rPr>
          <w:szCs w:val="20"/>
        </w:rPr>
        <w:fldChar w:fldCharType="begin"/>
      </w:r>
      <w:r w:rsidRPr="00CA400C">
        <w:rPr>
          <w:szCs w:val="20"/>
        </w:rPr>
        <w:instrText xml:space="preserve"> REF _Ref478384625 \h </w:instrText>
      </w:r>
      <w:r w:rsidR="00CA400C">
        <w:rPr>
          <w:szCs w:val="20"/>
        </w:rPr>
        <w:instrText xml:space="preserve"> \* MERGEFORMAT </w:instrText>
      </w:r>
      <w:r w:rsidRPr="00CA400C">
        <w:rPr>
          <w:szCs w:val="20"/>
        </w:rPr>
      </w:r>
      <w:r w:rsidRPr="00CA400C">
        <w:rPr>
          <w:szCs w:val="20"/>
        </w:rPr>
        <w:fldChar w:fldCharType="separate"/>
      </w:r>
      <w:r w:rsidRPr="00CA400C">
        <w:t xml:space="preserve">Figure </w:t>
      </w:r>
      <w:r w:rsidRPr="00CA400C">
        <w:rPr>
          <w:noProof/>
        </w:rPr>
        <w:t>2</w:t>
      </w:r>
      <w:r w:rsidRPr="00CA400C">
        <w:rPr>
          <w:szCs w:val="20"/>
        </w:rPr>
        <w:fldChar w:fldCharType="end"/>
      </w:r>
      <w:r w:rsidRPr="00CA400C">
        <w:rPr>
          <w:szCs w:val="20"/>
        </w:rPr>
        <w:t>). This will enable timely treatment of patients in the first-line setting and avoid MSAC evaluation duplication.</w:t>
      </w:r>
    </w:p>
    <w:p w14:paraId="44853B6D" w14:textId="77777777" w:rsidR="000E5439" w:rsidRPr="00CA400C" w:rsidRDefault="000E5439" w:rsidP="00530204">
      <w:pPr>
        <w:pStyle w:val="Heading2"/>
        <w:numPr>
          <w:ilvl w:val="0"/>
          <w:numId w:val="25"/>
        </w:numPr>
      </w:pPr>
      <w:r w:rsidRPr="00CA400C">
        <w:t>If you are seeking both MBS and PBS listing</w:t>
      </w:r>
      <w:r w:rsidR="00B75965" w:rsidRPr="00CA400C">
        <w:t>, what is the trade name and generic name of the pharmaceutical?</w:t>
      </w:r>
    </w:p>
    <w:p w14:paraId="46459359" w14:textId="50979BF8" w:rsidR="00F704BC" w:rsidRPr="00CA400C" w:rsidRDefault="00F704BC" w:rsidP="00F704BC">
      <w:pPr>
        <w:spacing w:before="0" w:after="0"/>
        <w:ind w:left="284"/>
      </w:pPr>
      <w:r w:rsidRPr="00CA400C">
        <w:t>PBS listing will be sought for two pharmaceutical</w:t>
      </w:r>
      <w:r w:rsidR="00683FDD" w:rsidRPr="00CA400C">
        <w:t xml:space="preserve"> agents: </w:t>
      </w:r>
      <w:proofErr w:type="spellStart"/>
      <w:r w:rsidR="00683FDD" w:rsidRPr="00CA400C">
        <w:t>durvalumab</w:t>
      </w:r>
      <w:proofErr w:type="spellEnd"/>
      <w:r w:rsidR="00683FDD" w:rsidRPr="00CA400C">
        <w:t xml:space="preserve"> and </w:t>
      </w:r>
      <w:proofErr w:type="spellStart"/>
      <w:r w:rsidR="00683FDD" w:rsidRPr="00CA400C">
        <w:t>tremelimumab</w:t>
      </w:r>
      <w:proofErr w:type="spellEnd"/>
      <w:r w:rsidR="00683FDD" w:rsidRPr="00CA400C">
        <w:t xml:space="preserve">. </w:t>
      </w:r>
      <w:proofErr w:type="spellStart"/>
      <w:r w:rsidR="00683FDD" w:rsidRPr="00CA400C">
        <w:t>Durvalumab</w:t>
      </w:r>
      <w:proofErr w:type="spellEnd"/>
      <w:r w:rsidR="00683FDD" w:rsidRPr="00CA400C">
        <w:t xml:space="preserve"> may be used as monotherapy or in combination with </w:t>
      </w:r>
      <w:proofErr w:type="spellStart"/>
      <w:r w:rsidR="00683FDD" w:rsidRPr="00CA400C">
        <w:t>tremelimumab</w:t>
      </w:r>
      <w:proofErr w:type="spellEnd"/>
      <w:r w:rsidR="00683FDD" w:rsidRPr="00CA400C">
        <w:t xml:space="preserve">. </w:t>
      </w:r>
      <w:proofErr w:type="spellStart"/>
      <w:r w:rsidR="00683FDD" w:rsidRPr="00CA400C">
        <w:t>Tremelimumab</w:t>
      </w:r>
      <w:proofErr w:type="spellEnd"/>
      <w:r w:rsidR="00683FDD" w:rsidRPr="00CA400C">
        <w:t xml:space="preserve"> will only be used in combination with </w:t>
      </w:r>
      <w:proofErr w:type="spellStart"/>
      <w:r w:rsidR="00683FDD" w:rsidRPr="00CA400C">
        <w:t>durvalumab</w:t>
      </w:r>
      <w:proofErr w:type="spellEnd"/>
      <w:r w:rsidR="00683FDD" w:rsidRPr="00CA400C">
        <w:t xml:space="preserve">. </w:t>
      </w:r>
    </w:p>
    <w:p w14:paraId="4425B3C2" w14:textId="77777777" w:rsidR="00683FDD" w:rsidRPr="00CA400C" w:rsidRDefault="00683FDD" w:rsidP="00495AAE">
      <w:pPr>
        <w:spacing w:before="0" w:after="0"/>
        <w:ind w:left="284"/>
      </w:pPr>
    </w:p>
    <w:p w14:paraId="7632937F" w14:textId="4302182B" w:rsidR="0086518C" w:rsidRPr="00CA400C" w:rsidRDefault="00495AAE" w:rsidP="00495AAE">
      <w:pPr>
        <w:spacing w:before="0" w:after="0"/>
        <w:ind w:left="284"/>
      </w:pPr>
      <w:r w:rsidRPr="00CA400C">
        <w:t xml:space="preserve">Trade name: </w:t>
      </w:r>
      <w:r w:rsidR="004A6DDF" w:rsidRPr="00CA400C">
        <w:t>Redacted</w:t>
      </w:r>
    </w:p>
    <w:p w14:paraId="0D516AFF" w14:textId="49BB3386" w:rsidR="0086518C" w:rsidRPr="00CA400C" w:rsidRDefault="00DD518B" w:rsidP="00495AAE">
      <w:pPr>
        <w:spacing w:before="0" w:after="0"/>
        <w:ind w:left="284"/>
      </w:pPr>
      <w:r w:rsidRPr="00CA400C">
        <w:t xml:space="preserve">Generic name: </w:t>
      </w:r>
      <w:proofErr w:type="spellStart"/>
      <w:r w:rsidRPr="00CA400C">
        <w:t>durvalumab</w:t>
      </w:r>
      <w:proofErr w:type="spellEnd"/>
    </w:p>
    <w:p w14:paraId="078275DB" w14:textId="77777777" w:rsidR="0086518C" w:rsidRPr="00CA400C" w:rsidRDefault="0086518C" w:rsidP="00495AAE">
      <w:pPr>
        <w:spacing w:before="0" w:after="0"/>
        <w:ind w:left="284"/>
      </w:pPr>
    </w:p>
    <w:p w14:paraId="32F01565" w14:textId="27A1062F" w:rsidR="0086518C" w:rsidRPr="00CA400C" w:rsidRDefault="00495AAE" w:rsidP="00495AAE">
      <w:pPr>
        <w:spacing w:before="0" w:after="0"/>
        <w:ind w:left="284"/>
      </w:pPr>
      <w:r w:rsidRPr="00CA400C">
        <w:t>T</w:t>
      </w:r>
      <w:r w:rsidR="0086518C" w:rsidRPr="00CA400C">
        <w:t xml:space="preserve">rade name: </w:t>
      </w:r>
      <w:r w:rsidR="004A6DDF" w:rsidRPr="00CA400C">
        <w:t>Redacted</w:t>
      </w:r>
    </w:p>
    <w:p w14:paraId="3F719E6E" w14:textId="700D99C8" w:rsidR="001E6958" w:rsidRPr="00CA400C" w:rsidRDefault="0086518C" w:rsidP="00495AAE">
      <w:pPr>
        <w:spacing w:before="0" w:after="0"/>
        <w:ind w:left="284"/>
      </w:pPr>
      <w:r w:rsidRPr="00CA400C">
        <w:t xml:space="preserve">Generic name: </w:t>
      </w:r>
      <w:proofErr w:type="spellStart"/>
      <w:r w:rsidR="00495AAE" w:rsidRPr="00CA400C">
        <w:t>tremelimumab</w:t>
      </w:r>
      <w:proofErr w:type="spellEnd"/>
      <w:r w:rsidR="00495AAE" w:rsidRPr="00CA400C">
        <w:t xml:space="preserve"> </w:t>
      </w:r>
    </w:p>
    <w:p w14:paraId="352351B1" w14:textId="77777777" w:rsidR="00B75965" w:rsidRPr="00CA400C" w:rsidRDefault="00495AAE" w:rsidP="00530204">
      <w:pPr>
        <w:pStyle w:val="Heading2"/>
      </w:pPr>
      <w:r w:rsidRPr="00CA400C">
        <w:t xml:space="preserve"> </w:t>
      </w:r>
      <w:r w:rsidR="00530204" w:rsidRPr="00CA400C">
        <w:t xml:space="preserve">(a) </w:t>
      </w:r>
      <w:r w:rsidR="00B75965" w:rsidRPr="00CA400C">
        <w:t xml:space="preserve">If the proposed service </w:t>
      </w:r>
      <w:r w:rsidR="00A9062D" w:rsidRPr="00CA400C">
        <w:t xml:space="preserve">is </w:t>
      </w:r>
      <w:r w:rsidR="00C73B62" w:rsidRPr="00CA400C">
        <w:t>dependent on</w:t>
      </w:r>
      <w:r w:rsidR="00A9062D" w:rsidRPr="00CA400C">
        <w:t xml:space="preserve"> </w:t>
      </w:r>
      <w:r w:rsidR="00BB003A" w:rsidRPr="00CA400C">
        <w:t xml:space="preserve">the use of </w:t>
      </w:r>
      <w:proofErr w:type="gramStart"/>
      <w:r w:rsidR="00C05A45" w:rsidRPr="00CA400C">
        <w:t>a prosthesis</w:t>
      </w:r>
      <w:proofErr w:type="gramEnd"/>
      <w:r w:rsidR="00CD4E44" w:rsidRPr="00CA400C">
        <w:t>,</w:t>
      </w:r>
      <w:r w:rsidR="00C05A45" w:rsidRPr="00CA400C">
        <w:t xml:space="preserve"> </w:t>
      </w:r>
      <w:r w:rsidR="00B75965" w:rsidRPr="00CA400C">
        <w:t>is it already included on the Prosthes</w:t>
      </w:r>
      <w:r w:rsidR="00BB003A" w:rsidRPr="00CA400C">
        <w:t>e</w:t>
      </w:r>
      <w:r w:rsidR="00B75965" w:rsidRPr="00CA400C">
        <w:t>s List?</w:t>
      </w:r>
      <w:r w:rsidR="00DA238D" w:rsidRPr="00CA400C">
        <w:t xml:space="preserve"> </w:t>
      </w:r>
      <w:r w:rsidR="00DA238D" w:rsidRPr="00CA400C">
        <w:rPr>
          <w:b w:val="0"/>
        </w:rPr>
        <w:t>Not applicable.</w:t>
      </w:r>
    </w:p>
    <w:p w14:paraId="2701BB29" w14:textId="77777777" w:rsidR="001E6958" w:rsidRPr="00CA400C" w:rsidRDefault="001E6958" w:rsidP="00A6491A">
      <w:pPr>
        <w:spacing w:before="0" w:after="0"/>
        <w:ind w:left="284"/>
        <w:rPr>
          <w:szCs w:val="20"/>
        </w:rPr>
      </w:pPr>
      <w:r w:rsidRPr="00CA400C">
        <w:rPr>
          <w:szCs w:val="20"/>
        </w:rPr>
        <w:fldChar w:fldCharType="begin">
          <w:ffData>
            <w:name w:val="Check1"/>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Pr="00CA400C">
        <w:rPr>
          <w:szCs w:val="20"/>
        </w:rPr>
        <w:t xml:space="preserve"> Yes</w:t>
      </w:r>
    </w:p>
    <w:p w14:paraId="0875CECB" w14:textId="77777777" w:rsidR="001E6919" w:rsidRPr="00CA400C" w:rsidRDefault="001E6958" w:rsidP="00E87AE4">
      <w:pPr>
        <w:spacing w:before="0" w:after="0"/>
        <w:ind w:left="284"/>
        <w:rPr>
          <w:szCs w:val="20"/>
        </w:rPr>
      </w:pPr>
      <w:r w:rsidRPr="00CA400C">
        <w:rPr>
          <w:szCs w:val="20"/>
        </w:rPr>
        <w:fldChar w:fldCharType="begin">
          <w:ffData>
            <w:name w:val="Check2"/>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Pr="00CA400C">
        <w:rPr>
          <w:szCs w:val="20"/>
        </w:rPr>
        <w:t xml:space="preserve"> No  </w:t>
      </w:r>
    </w:p>
    <w:p w14:paraId="2A8AEC62" w14:textId="77777777" w:rsidR="00B75965" w:rsidRPr="00CA400C" w:rsidRDefault="00B75965" w:rsidP="00530204">
      <w:pPr>
        <w:pStyle w:val="Heading2"/>
        <w:numPr>
          <w:ilvl w:val="0"/>
          <w:numId w:val="26"/>
        </w:numPr>
      </w:pPr>
      <w:r w:rsidRPr="00CA400C">
        <w:t xml:space="preserve">If yes, </w:t>
      </w:r>
      <w:r w:rsidR="00C73B62" w:rsidRPr="00CA400C">
        <w:t xml:space="preserve">please provide the following information (where relevant): </w:t>
      </w:r>
      <w:r w:rsidR="00DA238D" w:rsidRPr="00CA400C">
        <w:rPr>
          <w:b w:val="0"/>
        </w:rPr>
        <w:t>Not applicable</w:t>
      </w:r>
    </w:p>
    <w:p w14:paraId="2E9B2CA4" w14:textId="77777777" w:rsidR="001E6958" w:rsidRPr="00CA400C" w:rsidRDefault="001E6958" w:rsidP="00A6491A">
      <w:pPr>
        <w:spacing w:before="0" w:after="0"/>
        <w:ind w:left="284"/>
      </w:pPr>
      <w:r w:rsidRPr="00CA400C">
        <w:t xml:space="preserve">Billing code(s): </w:t>
      </w:r>
    </w:p>
    <w:p w14:paraId="120C5C88" w14:textId="77777777" w:rsidR="001E6958" w:rsidRPr="00CA400C" w:rsidRDefault="001E6958" w:rsidP="00A6491A">
      <w:pPr>
        <w:spacing w:before="0" w:after="0"/>
        <w:ind w:left="284"/>
      </w:pPr>
      <w:r w:rsidRPr="00CA400C">
        <w:t xml:space="preserve">Trade name of prostheses: </w:t>
      </w:r>
    </w:p>
    <w:p w14:paraId="7F4695C9" w14:textId="77777777" w:rsidR="001E6958" w:rsidRPr="00CA400C" w:rsidRDefault="001E6958" w:rsidP="00A6491A">
      <w:pPr>
        <w:spacing w:before="0" w:after="0"/>
        <w:ind w:left="284"/>
      </w:pPr>
      <w:r w:rsidRPr="00CA400C">
        <w:t xml:space="preserve">Clinical name of prostheses: </w:t>
      </w:r>
    </w:p>
    <w:p w14:paraId="51ED2BB1" w14:textId="77777777" w:rsidR="001E6958" w:rsidRPr="00CA400C" w:rsidRDefault="001E6958" w:rsidP="00A6491A">
      <w:pPr>
        <w:spacing w:before="0" w:after="0"/>
        <w:ind w:left="284"/>
      </w:pPr>
      <w:r w:rsidRPr="00CA400C">
        <w:t xml:space="preserve">Other device components delivered as part of the service: </w:t>
      </w:r>
    </w:p>
    <w:p w14:paraId="12B1FFE4" w14:textId="77777777" w:rsidR="00411735" w:rsidRPr="00CA400C" w:rsidRDefault="00411735" w:rsidP="00530204">
      <w:pPr>
        <w:pStyle w:val="Heading2"/>
        <w:numPr>
          <w:ilvl w:val="0"/>
          <w:numId w:val="26"/>
        </w:numPr>
      </w:pPr>
      <w:r w:rsidRPr="00CA400C">
        <w:t xml:space="preserve">If no, is an application in the process of being considered by </w:t>
      </w:r>
      <w:r w:rsidR="003433D1" w:rsidRPr="00CA400C">
        <w:t xml:space="preserve">a Clinical Advisory Group or </w:t>
      </w:r>
      <w:r w:rsidRPr="00CA400C">
        <w:t>the</w:t>
      </w:r>
      <w:r w:rsidR="00BB003A" w:rsidRPr="00CA400C">
        <w:t xml:space="preserve"> Prostheses List Advisory Committee</w:t>
      </w:r>
      <w:r w:rsidRPr="00CA400C">
        <w:t xml:space="preserve"> </w:t>
      </w:r>
      <w:r w:rsidR="00BB003A" w:rsidRPr="00CA400C">
        <w:t>(</w:t>
      </w:r>
      <w:r w:rsidRPr="00CA400C">
        <w:t>PLAC</w:t>
      </w:r>
      <w:r w:rsidR="00BB003A" w:rsidRPr="00CA400C">
        <w:t>)</w:t>
      </w:r>
      <w:r w:rsidRPr="00CA400C">
        <w:t>?</w:t>
      </w:r>
      <w:r w:rsidR="00DA238D" w:rsidRPr="00CA400C">
        <w:t xml:space="preserve"> </w:t>
      </w:r>
      <w:r w:rsidR="00DA238D" w:rsidRPr="00CA400C">
        <w:rPr>
          <w:b w:val="0"/>
        </w:rPr>
        <w:t>Not applicable</w:t>
      </w:r>
    </w:p>
    <w:p w14:paraId="51B29875" w14:textId="77777777" w:rsidR="009939DC" w:rsidRPr="00CA400C" w:rsidRDefault="009939DC" w:rsidP="00A6491A">
      <w:pPr>
        <w:spacing w:before="0" w:after="0"/>
        <w:ind w:left="284"/>
        <w:rPr>
          <w:szCs w:val="20"/>
        </w:rPr>
      </w:pPr>
      <w:r w:rsidRPr="00CA400C">
        <w:rPr>
          <w:szCs w:val="20"/>
        </w:rPr>
        <w:lastRenderedPageBreak/>
        <w:fldChar w:fldCharType="begin">
          <w:ffData>
            <w:name w:val="Check1"/>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Pr="00CA400C">
        <w:rPr>
          <w:szCs w:val="20"/>
        </w:rPr>
        <w:t xml:space="preserve"> Yes</w:t>
      </w:r>
    </w:p>
    <w:p w14:paraId="4B8F970C" w14:textId="77777777" w:rsidR="001E6958" w:rsidRPr="00CA400C" w:rsidRDefault="009939DC" w:rsidP="00A6491A">
      <w:pPr>
        <w:spacing w:before="0" w:after="0"/>
        <w:ind w:left="284"/>
        <w:rPr>
          <w:szCs w:val="20"/>
        </w:rPr>
      </w:pPr>
      <w:r w:rsidRPr="00CA400C">
        <w:rPr>
          <w:szCs w:val="20"/>
        </w:rPr>
        <w:fldChar w:fldCharType="begin">
          <w:ffData>
            <w:name w:val="Check2"/>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Pr="00CA400C">
        <w:rPr>
          <w:szCs w:val="20"/>
        </w:rPr>
        <w:t xml:space="preserve"> No  </w:t>
      </w:r>
    </w:p>
    <w:p w14:paraId="5EA27954" w14:textId="77777777" w:rsidR="00016B6E" w:rsidRPr="00CA400C" w:rsidRDefault="00016B6E" w:rsidP="00530204">
      <w:pPr>
        <w:pStyle w:val="Heading2"/>
        <w:numPr>
          <w:ilvl w:val="0"/>
          <w:numId w:val="26"/>
        </w:numPr>
      </w:pPr>
      <w:r w:rsidRPr="00CA400C">
        <w:t>Are t</w:t>
      </w:r>
      <w:r w:rsidR="00994843" w:rsidRPr="00CA400C">
        <w:t>here any other sponsor(s) and/</w:t>
      </w:r>
      <w:r w:rsidRPr="00CA400C">
        <w:t>or manufacturer(</w:t>
      </w:r>
      <w:r w:rsidR="008B729C" w:rsidRPr="00CA400C">
        <w:t>s) that have a similar prosthesi</w:t>
      </w:r>
      <w:r w:rsidRPr="00CA400C">
        <w:t>s or device component in the Australian market place which this application is relevant to?</w:t>
      </w:r>
      <w:r w:rsidR="00DA238D" w:rsidRPr="00CA400C">
        <w:t xml:space="preserve"> </w:t>
      </w:r>
      <w:r w:rsidR="00DA238D" w:rsidRPr="00CA400C">
        <w:rPr>
          <w:b w:val="0"/>
        </w:rPr>
        <w:t>Not applicable</w:t>
      </w:r>
    </w:p>
    <w:p w14:paraId="1A1580C8" w14:textId="77777777" w:rsidR="009939DC" w:rsidRPr="00CA400C" w:rsidRDefault="009939DC" w:rsidP="00A6491A">
      <w:pPr>
        <w:spacing w:before="0" w:after="0"/>
        <w:ind w:left="284"/>
        <w:rPr>
          <w:szCs w:val="20"/>
        </w:rPr>
      </w:pPr>
      <w:r w:rsidRPr="00CA400C">
        <w:rPr>
          <w:szCs w:val="20"/>
        </w:rPr>
        <w:fldChar w:fldCharType="begin">
          <w:ffData>
            <w:name w:val="Check1"/>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Pr="00CA400C">
        <w:rPr>
          <w:szCs w:val="20"/>
        </w:rPr>
        <w:t xml:space="preserve"> Yes</w:t>
      </w:r>
    </w:p>
    <w:p w14:paraId="45FA3666" w14:textId="77777777" w:rsidR="009939DC" w:rsidRPr="00CA400C" w:rsidRDefault="009939DC" w:rsidP="00A6491A">
      <w:pPr>
        <w:spacing w:before="0" w:after="0"/>
        <w:ind w:left="284"/>
        <w:rPr>
          <w:szCs w:val="20"/>
        </w:rPr>
      </w:pPr>
      <w:r w:rsidRPr="00CA400C">
        <w:rPr>
          <w:szCs w:val="20"/>
        </w:rPr>
        <w:fldChar w:fldCharType="begin">
          <w:ffData>
            <w:name w:val="Check2"/>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Pr="00CA400C">
        <w:rPr>
          <w:szCs w:val="20"/>
        </w:rPr>
        <w:t xml:space="preserve"> No  </w:t>
      </w:r>
    </w:p>
    <w:p w14:paraId="2B05B44F" w14:textId="77777777" w:rsidR="009939DC" w:rsidRPr="00CA400C" w:rsidRDefault="00016B6E" w:rsidP="00530204">
      <w:pPr>
        <w:pStyle w:val="Heading2"/>
        <w:numPr>
          <w:ilvl w:val="0"/>
          <w:numId w:val="26"/>
        </w:numPr>
      </w:pPr>
      <w:r w:rsidRPr="00CA400C">
        <w:t>If yes, please provide the name(s) of the spon</w:t>
      </w:r>
      <w:r w:rsidR="009939DC" w:rsidRPr="00CA400C">
        <w:t>sor(s) and/or manufacturer(s):</w:t>
      </w:r>
    </w:p>
    <w:p w14:paraId="14E2F898" w14:textId="77777777" w:rsidR="00016B6E" w:rsidRPr="00CA400C" w:rsidRDefault="00016B6E" w:rsidP="00A6491A">
      <w:pPr>
        <w:ind w:left="284"/>
      </w:pPr>
    </w:p>
    <w:p w14:paraId="6267940B" w14:textId="3567C442" w:rsidR="0084657B" w:rsidRPr="00CA400C" w:rsidRDefault="00A9062D" w:rsidP="00530204">
      <w:pPr>
        <w:pStyle w:val="Heading2"/>
      </w:pPr>
      <w:r w:rsidRPr="00CA400C">
        <w:t>P</w:t>
      </w:r>
      <w:r w:rsidR="0084657B" w:rsidRPr="00CA400C">
        <w:t xml:space="preserve">lease identify </w:t>
      </w:r>
      <w:r w:rsidR="00E8649B" w:rsidRPr="00CA400C">
        <w:t xml:space="preserve">any single </w:t>
      </w:r>
      <w:r w:rsidR="00016B6E" w:rsidRPr="00CA400C">
        <w:t>and/or multi</w:t>
      </w:r>
      <w:r w:rsidR="00B25D32" w:rsidRPr="00CA400C">
        <w:noBreakHyphen/>
      </w:r>
      <w:r w:rsidR="00E8649B" w:rsidRPr="00CA400C">
        <w:t>use consumables</w:t>
      </w:r>
      <w:r w:rsidR="0084657B" w:rsidRPr="00CA400C">
        <w:t xml:space="preserve"> </w:t>
      </w:r>
      <w:r w:rsidR="00E8649B" w:rsidRPr="00CA400C">
        <w:t>delivered as part of the service?</w:t>
      </w:r>
      <w:r w:rsidR="0014247B" w:rsidRPr="00CA400C">
        <w:tab/>
      </w:r>
    </w:p>
    <w:p w14:paraId="3AA74602" w14:textId="18B53015" w:rsidR="00495AAE" w:rsidRPr="00CA400C" w:rsidRDefault="00495AAE" w:rsidP="00495AAE">
      <w:pPr>
        <w:spacing w:before="0" w:after="0"/>
        <w:ind w:left="284"/>
      </w:pPr>
      <w:r w:rsidRPr="00CA400C">
        <w:t>Single use consumables: Commercially available PD</w:t>
      </w:r>
      <w:r w:rsidR="00B25D32" w:rsidRPr="00CA400C">
        <w:noBreakHyphen/>
      </w:r>
      <w:r w:rsidRPr="00CA400C">
        <w:t>L1 test kits.</w:t>
      </w:r>
    </w:p>
    <w:p w14:paraId="3E3596AA" w14:textId="47F17D7E" w:rsidR="00495AAE" w:rsidRPr="00CA400C" w:rsidRDefault="00495AAE" w:rsidP="00495AAE">
      <w:pPr>
        <w:spacing w:before="0" w:after="0"/>
        <w:ind w:left="284"/>
      </w:pPr>
      <w:r w:rsidRPr="00CA400C">
        <w:t>Multi</w:t>
      </w:r>
      <w:r w:rsidR="00B25D32" w:rsidRPr="00CA400C">
        <w:noBreakHyphen/>
      </w:r>
      <w:r w:rsidRPr="00CA400C">
        <w:t xml:space="preserve">use consumables: Instrumentation/software, such as the </w:t>
      </w:r>
      <w:proofErr w:type="spellStart"/>
      <w:r w:rsidRPr="00CA400C">
        <w:t>Ventana</w:t>
      </w:r>
      <w:proofErr w:type="spellEnd"/>
      <w:r w:rsidRPr="00CA400C">
        <w:t xml:space="preserve"> </w:t>
      </w:r>
      <w:proofErr w:type="spellStart"/>
      <w:r w:rsidRPr="00CA400C">
        <w:t>BenchMark</w:t>
      </w:r>
      <w:proofErr w:type="spellEnd"/>
      <w:r w:rsidRPr="00CA400C">
        <w:t xml:space="preserve"> ULTRA IHC automated slide </w:t>
      </w:r>
      <w:proofErr w:type="spellStart"/>
      <w:r w:rsidRPr="00CA400C">
        <w:t>stainer</w:t>
      </w:r>
      <w:proofErr w:type="spellEnd"/>
      <w:r w:rsidRPr="00CA400C">
        <w:t>.</w:t>
      </w:r>
    </w:p>
    <w:p w14:paraId="28E1CCBA" w14:textId="77777777" w:rsidR="00F301F1" w:rsidRPr="00CA400C" w:rsidRDefault="00F301F1" w:rsidP="00A6491A">
      <w:pPr>
        <w:spacing w:before="0" w:after="0"/>
        <w:ind w:left="284"/>
      </w:pPr>
      <w:r w:rsidRPr="00CA400C">
        <w:br w:type="page"/>
      </w:r>
    </w:p>
    <w:p w14:paraId="7977D4A8" w14:textId="77777777" w:rsidR="00226777" w:rsidRPr="00CA400C" w:rsidRDefault="00530204" w:rsidP="00B5731D">
      <w:pPr>
        <w:pStyle w:val="Heading1"/>
      </w:pPr>
      <w:r w:rsidRPr="00CA400C">
        <w:lastRenderedPageBreak/>
        <w:t>PART 3</w:t>
      </w:r>
      <w:r w:rsidR="00F93784" w:rsidRPr="00CA400C">
        <w:t xml:space="preserve"> – </w:t>
      </w:r>
      <w:r w:rsidR="00226777" w:rsidRPr="00CA400C">
        <w:t>INFORMATION ABOUT REGULATORY REQUIREMENTS</w:t>
      </w:r>
    </w:p>
    <w:p w14:paraId="0526301D" w14:textId="35D85B1F" w:rsidR="001A1ADF" w:rsidRPr="00CA400C" w:rsidRDefault="0011369B" w:rsidP="0011369B">
      <w:pPr>
        <w:pStyle w:val="Heading2"/>
      </w:pPr>
      <w:r w:rsidRPr="00CA400C">
        <w:t xml:space="preserve">(a) </w:t>
      </w:r>
      <w:r w:rsidR="0054594B" w:rsidRPr="00CA400C">
        <w:t>If</w:t>
      </w:r>
      <w:r w:rsidR="00226777" w:rsidRPr="00CA400C">
        <w:t xml:space="preserve"> the </w:t>
      </w:r>
      <w:r w:rsidR="001A1ADF" w:rsidRPr="00CA400C">
        <w:t>p</w:t>
      </w:r>
      <w:r w:rsidR="00226777" w:rsidRPr="00CA400C">
        <w:t>roposed medical service involve</w:t>
      </w:r>
      <w:r w:rsidR="009C03FB" w:rsidRPr="00CA400C">
        <w:t>s</w:t>
      </w:r>
      <w:r w:rsidR="001A1ADF" w:rsidRPr="00CA400C">
        <w:t xml:space="preserve"> the use of a medical device, in</w:t>
      </w:r>
      <w:r w:rsidR="00B25D32" w:rsidRPr="00CA400C">
        <w:noBreakHyphen/>
      </w:r>
      <w:r w:rsidR="001A1ADF" w:rsidRPr="00CA400C">
        <w:t xml:space="preserve">vitro diagnostic test, </w:t>
      </w:r>
      <w:r w:rsidR="00226777" w:rsidRPr="00CA400C">
        <w:t xml:space="preserve">pharmaceutical product, </w:t>
      </w:r>
      <w:r w:rsidR="001A1ADF" w:rsidRPr="00CA400C">
        <w:t>radioactive tracer or any other type of therape</w:t>
      </w:r>
      <w:r w:rsidR="008127C0" w:rsidRPr="00CA400C">
        <w:t xml:space="preserve">utic good, please </w:t>
      </w:r>
      <w:r w:rsidR="001A1ADF" w:rsidRPr="00CA400C">
        <w:t xml:space="preserve">provide </w:t>
      </w:r>
      <w:r w:rsidR="008127C0" w:rsidRPr="00CA400C">
        <w:t>the following details</w:t>
      </w:r>
      <w:r w:rsidR="001A1ADF" w:rsidRPr="00CA400C">
        <w:t>:</w:t>
      </w:r>
    </w:p>
    <w:p w14:paraId="25107E69" w14:textId="204F2569" w:rsidR="007D07F9" w:rsidRPr="00CA400C" w:rsidRDefault="007D07F9" w:rsidP="007D07F9">
      <w:pPr>
        <w:spacing w:before="0" w:after="0"/>
        <w:ind w:left="284"/>
        <w:rPr>
          <w:szCs w:val="20"/>
        </w:rPr>
      </w:pPr>
      <w:r w:rsidRPr="00CA400C">
        <w:rPr>
          <w:szCs w:val="20"/>
        </w:rPr>
        <w:t>Type of therapeutic good: Pharmaceutical products – PD</w:t>
      </w:r>
      <w:r w:rsidR="00B25D32" w:rsidRPr="00CA400C">
        <w:rPr>
          <w:szCs w:val="20"/>
        </w:rPr>
        <w:noBreakHyphen/>
      </w:r>
      <w:r w:rsidRPr="00CA400C">
        <w:rPr>
          <w:szCs w:val="20"/>
        </w:rPr>
        <w:t xml:space="preserve">L1 blocker </w:t>
      </w:r>
      <w:proofErr w:type="spellStart"/>
      <w:r w:rsidR="008051A7" w:rsidRPr="00CA400C">
        <w:rPr>
          <w:szCs w:val="20"/>
        </w:rPr>
        <w:t>durvalumab</w:t>
      </w:r>
      <w:proofErr w:type="spellEnd"/>
      <w:r w:rsidRPr="00CA400C">
        <w:rPr>
          <w:szCs w:val="20"/>
        </w:rPr>
        <w:t xml:space="preserve"> (MEDI4736); CTLA</w:t>
      </w:r>
      <w:r w:rsidR="005D414A" w:rsidRPr="00CA400C">
        <w:rPr>
          <w:szCs w:val="20"/>
        </w:rPr>
        <w:noBreakHyphen/>
        <w:t>4</w:t>
      </w:r>
      <w:r w:rsidRPr="00CA400C">
        <w:rPr>
          <w:szCs w:val="20"/>
        </w:rPr>
        <w:t xml:space="preserve"> </w:t>
      </w:r>
      <w:r w:rsidR="0044302F" w:rsidRPr="00CA400C">
        <w:rPr>
          <w:szCs w:val="20"/>
        </w:rPr>
        <w:t>antagonist</w:t>
      </w:r>
      <w:r w:rsidRPr="00CA400C">
        <w:rPr>
          <w:szCs w:val="20"/>
        </w:rPr>
        <w:t xml:space="preserve"> </w:t>
      </w:r>
      <w:proofErr w:type="spellStart"/>
      <w:r w:rsidRPr="00CA400C">
        <w:rPr>
          <w:szCs w:val="20"/>
        </w:rPr>
        <w:t>tremelimumab</w:t>
      </w:r>
      <w:proofErr w:type="spellEnd"/>
      <w:r w:rsidRPr="00CA400C">
        <w:rPr>
          <w:szCs w:val="20"/>
        </w:rPr>
        <w:t xml:space="preserve"> (MEDI1123)</w:t>
      </w:r>
    </w:p>
    <w:p w14:paraId="04CE4CA1" w14:textId="77777777" w:rsidR="007D07F9" w:rsidRPr="00CA400C" w:rsidRDefault="007D07F9" w:rsidP="007D07F9">
      <w:pPr>
        <w:spacing w:before="0" w:after="0"/>
        <w:ind w:left="284"/>
        <w:rPr>
          <w:szCs w:val="20"/>
        </w:rPr>
      </w:pPr>
      <w:r w:rsidRPr="00CA400C">
        <w:rPr>
          <w:szCs w:val="20"/>
        </w:rPr>
        <w:t>Manufacturer’s name: AstraZeneca Pty Ltd</w:t>
      </w:r>
    </w:p>
    <w:p w14:paraId="795E5EBA" w14:textId="77777777" w:rsidR="007D07F9" w:rsidRPr="00CA400C" w:rsidRDefault="007D07F9" w:rsidP="007D07F9">
      <w:pPr>
        <w:spacing w:before="0" w:after="0"/>
        <w:ind w:left="284"/>
        <w:rPr>
          <w:szCs w:val="20"/>
        </w:rPr>
      </w:pPr>
      <w:r w:rsidRPr="00CA400C">
        <w:rPr>
          <w:szCs w:val="20"/>
        </w:rPr>
        <w:t>Sponsor’s name: AstraZeneca Pty Ltd</w:t>
      </w:r>
    </w:p>
    <w:p w14:paraId="34650626" w14:textId="77777777" w:rsidR="007D07F9" w:rsidRPr="00CA400C" w:rsidRDefault="007D07F9" w:rsidP="007D07F9">
      <w:pPr>
        <w:spacing w:before="0" w:after="0"/>
        <w:ind w:left="284"/>
        <w:rPr>
          <w:szCs w:val="20"/>
        </w:rPr>
      </w:pPr>
    </w:p>
    <w:p w14:paraId="22A9ADF5" w14:textId="15E4C897" w:rsidR="007D07F9" w:rsidRPr="00CA400C" w:rsidRDefault="007D07F9" w:rsidP="007D07F9">
      <w:pPr>
        <w:spacing w:before="0" w:after="0"/>
        <w:ind w:left="284"/>
        <w:rPr>
          <w:szCs w:val="20"/>
        </w:rPr>
      </w:pPr>
      <w:r w:rsidRPr="00CA400C">
        <w:rPr>
          <w:szCs w:val="20"/>
        </w:rPr>
        <w:t>Type of therapeutic good: In</w:t>
      </w:r>
      <w:r w:rsidR="00B25D32" w:rsidRPr="00CA400C">
        <w:rPr>
          <w:szCs w:val="20"/>
        </w:rPr>
        <w:noBreakHyphen/>
      </w:r>
      <w:r w:rsidRPr="00CA400C">
        <w:rPr>
          <w:szCs w:val="20"/>
        </w:rPr>
        <w:t xml:space="preserve">vitro diagnostic test: </w:t>
      </w:r>
      <w:r w:rsidRPr="00CA400C">
        <w:t>Roche/</w:t>
      </w:r>
      <w:proofErr w:type="spellStart"/>
      <w:r w:rsidRPr="00CA400C">
        <w:t>Ventana</w:t>
      </w:r>
      <w:proofErr w:type="spellEnd"/>
      <w:r w:rsidRPr="00CA400C">
        <w:t xml:space="preserve"> SP263 PD</w:t>
      </w:r>
      <w:r w:rsidR="00B25D32" w:rsidRPr="00CA400C">
        <w:noBreakHyphen/>
      </w:r>
      <w:r w:rsidRPr="00CA400C">
        <w:t>L1 IHC assay</w:t>
      </w:r>
    </w:p>
    <w:p w14:paraId="628354C9" w14:textId="77777777" w:rsidR="007D07F9" w:rsidRPr="00CA400C" w:rsidRDefault="007D07F9" w:rsidP="007D07F9">
      <w:pPr>
        <w:spacing w:before="0" w:after="0"/>
        <w:ind w:left="284"/>
        <w:rPr>
          <w:szCs w:val="20"/>
        </w:rPr>
      </w:pPr>
      <w:r w:rsidRPr="00CA400C">
        <w:rPr>
          <w:szCs w:val="20"/>
        </w:rPr>
        <w:t>Manufacturer’s name: Roche Diagnostics Pty Limited</w:t>
      </w:r>
    </w:p>
    <w:p w14:paraId="6358997B" w14:textId="77777777" w:rsidR="007D07F9" w:rsidRPr="00CA400C" w:rsidRDefault="007D07F9" w:rsidP="007D07F9">
      <w:pPr>
        <w:spacing w:before="0" w:after="0"/>
        <w:ind w:left="284"/>
        <w:rPr>
          <w:szCs w:val="20"/>
        </w:rPr>
      </w:pPr>
      <w:r w:rsidRPr="00CA400C">
        <w:rPr>
          <w:szCs w:val="20"/>
        </w:rPr>
        <w:t>Sponsor’s name: Roche Diagnostics Pty Limited</w:t>
      </w:r>
    </w:p>
    <w:p w14:paraId="5904E431" w14:textId="77777777" w:rsidR="007D07F9" w:rsidRPr="00CA400C" w:rsidRDefault="007D07F9" w:rsidP="007D07F9">
      <w:pPr>
        <w:spacing w:before="0" w:after="0"/>
        <w:ind w:left="284"/>
        <w:rPr>
          <w:szCs w:val="20"/>
        </w:rPr>
      </w:pPr>
    </w:p>
    <w:p w14:paraId="2BB303D8" w14:textId="3CAB9667" w:rsidR="007D07F9" w:rsidRPr="00CA400C" w:rsidRDefault="007D07F9" w:rsidP="007D07F9">
      <w:pPr>
        <w:spacing w:before="0" w:after="0"/>
        <w:ind w:left="284"/>
        <w:rPr>
          <w:szCs w:val="20"/>
        </w:rPr>
      </w:pPr>
      <w:r w:rsidRPr="00CA400C">
        <w:rPr>
          <w:szCs w:val="20"/>
        </w:rPr>
        <w:t>A comparison to alternative commercial PD</w:t>
      </w:r>
      <w:r w:rsidR="00B25D32" w:rsidRPr="00CA400C">
        <w:rPr>
          <w:szCs w:val="20"/>
        </w:rPr>
        <w:noBreakHyphen/>
      </w:r>
      <w:r w:rsidRPr="00CA400C">
        <w:rPr>
          <w:szCs w:val="20"/>
        </w:rPr>
        <w:t>L1 test kits and other PD</w:t>
      </w:r>
      <w:r w:rsidR="00B25D32" w:rsidRPr="00CA400C">
        <w:rPr>
          <w:szCs w:val="20"/>
        </w:rPr>
        <w:noBreakHyphen/>
      </w:r>
      <w:r w:rsidRPr="00CA400C">
        <w:rPr>
          <w:szCs w:val="20"/>
        </w:rPr>
        <w:t xml:space="preserve">L1 test methods will be conducted as part of </w:t>
      </w:r>
      <w:r w:rsidR="001A15E9" w:rsidRPr="00CA400C">
        <w:rPr>
          <w:szCs w:val="20"/>
        </w:rPr>
        <w:t>two</w:t>
      </w:r>
      <w:r w:rsidRPr="00CA400C">
        <w:rPr>
          <w:szCs w:val="20"/>
        </w:rPr>
        <w:t xml:space="preserve"> co</w:t>
      </w:r>
      <w:r w:rsidR="00B25D32" w:rsidRPr="00CA400C">
        <w:rPr>
          <w:szCs w:val="20"/>
        </w:rPr>
        <w:noBreakHyphen/>
      </w:r>
      <w:r w:rsidRPr="00CA400C">
        <w:rPr>
          <w:szCs w:val="20"/>
        </w:rPr>
        <w:t>dependent submission</w:t>
      </w:r>
      <w:r w:rsidR="001A15E9" w:rsidRPr="00CA400C">
        <w:rPr>
          <w:szCs w:val="20"/>
        </w:rPr>
        <w:t>s</w:t>
      </w:r>
      <w:r w:rsidRPr="00CA400C">
        <w:rPr>
          <w:szCs w:val="20"/>
        </w:rPr>
        <w:t xml:space="preserve"> based on this application.</w:t>
      </w:r>
    </w:p>
    <w:p w14:paraId="0DA7395B" w14:textId="77777777" w:rsidR="005E2CE3" w:rsidRPr="00CA400C" w:rsidRDefault="005E2CE3" w:rsidP="0011369B">
      <w:pPr>
        <w:pStyle w:val="Heading2"/>
        <w:numPr>
          <w:ilvl w:val="0"/>
          <w:numId w:val="27"/>
        </w:numPr>
      </w:pPr>
      <w:r w:rsidRPr="00CA400C">
        <w:t>Is the medical device classified by the TGA as either a Class III or Active Implantable Medical Device (AIMD) against the TGA regulatory scheme for devices?</w:t>
      </w:r>
    </w:p>
    <w:p w14:paraId="63502143" w14:textId="77777777" w:rsidR="00615F42" w:rsidRPr="00CA400C" w:rsidRDefault="007D07F9" w:rsidP="00A6491A">
      <w:pPr>
        <w:spacing w:before="0" w:after="0"/>
        <w:ind w:left="284"/>
        <w:rPr>
          <w:szCs w:val="20"/>
        </w:rPr>
      </w:pPr>
      <w:r w:rsidRPr="00CA400C">
        <w:rPr>
          <w:szCs w:val="20"/>
        </w:rPr>
        <w:fldChar w:fldCharType="begin">
          <w:ffData>
            <w:name w:val=""/>
            <w:enabled/>
            <w:calcOnExit w:val="0"/>
            <w:checkBox>
              <w:sizeAuto/>
              <w:default w:val="1"/>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00615F42" w:rsidRPr="00CA400C">
        <w:rPr>
          <w:szCs w:val="20"/>
        </w:rPr>
        <w:t xml:space="preserve"> Class III</w:t>
      </w:r>
    </w:p>
    <w:p w14:paraId="1418F2F1" w14:textId="77777777" w:rsidR="00615F42" w:rsidRPr="00CA400C" w:rsidRDefault="00615F42" w:rsidP="00A6491A">
      <w:pPr>
        <w:spacing w:before="0" w:after="0"/>
        <w:ind w:left="284"/>
        <w:rPr>
          <w:szCs w:val="20"/>
        </w:rPr>
      </w:pPr>
      <w:r w:rsidRPr="00CA400C">
        <w:rPr>
          <w:szCs w:val="20"/>
        </w:rPr>
        <w:fldChar w:fldCharType="begin">
          <w:ffData>
            <w:name w:val="Check1"/>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Pr="00CA400C">
        <w:rPr>
          <w:szCs w:val="20"/>
        </w:rPr>
        <w:t xml:space="preserve"> AIMD</w:t>
      </w:r>
    </w:p>
    <w:p w14:paraId="1C2CB4BC" w14:textId="12001221" w:rsidR="005E2CE3" w:rsidRPr="00CA400C" w:rsidRDefault="007D07F9" w:rsidP="00A6491A">
      <w:pPr>
        <w:spacing w:before="0" w:after="0"/>
        <w:ind w:left="284"/>
        <w:rPr>
          <w:szCs w:val="20"/>
        </w:rPr>
      </w:pPr>
      <w:r w:rsidRPr="00CA400C">
        <w:rPr>
          <w:szCs w:val="20"/>
        </w:rPr>
        <w:fldChar w:fldCharType="begin">
          <w:ffData>
            <w:name w:val=""/>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00615F42" w:rsidRPr="00CA400C">
        <w:rPr>
          <w:szCs w:val="20"/>
        </w:rPr>
        <w:t xml:space="preserve"> N/A</w:t>
      </w:r>
    </w:p>
    <w:p w14:paraId="27C425BA" w14:textId="62889AFF" w:rsidR="00683FDD" w:rsidRPr="00CA400C" w:rsidRDefault="00683FDD" w:rsidP="00A6491A">
      <w:pPr>
        <w:spacing w:before="0" w:after="0"/>
        <w:ind w:left="284"/>
        <w:rPr>
          <w:szCs w:val="20"/>
        </w:rPr>
      </w:pPr>
    </w:p>
    <w:p w14:paraId="6F31B8AC" w14:textId="09A0A53C" w:rsidR="00683FDD" w:rsidRPr="00CA400C" w:rsidRDefault="00683FDD" w:rsidP="00A6491A">
      <w:pPr>
        <w:spacing w:before="0" w:after="0"/>
        <w:ind w:left="284"/>
        <w:rPr>
          <w:szCs w:val="20"/>
        </w:rPr>
      </w:pPr>
      <w:r w:rsidRPr="00CA400C">
        <w:rPr>
          <w:szCs w:val="20"/>
        </w:rPr>
        <w:t>The Roche/</w:t>
      </w:r>
      <w:proofErr w:type="spellStart"/>
      <w:r w:rsidRPr="00CA400C">
        <w:rPr>
          <w:szCs w:val="20"/>
        </w:rPr>
        <w:t>Ventana</w:t>
      </w:r>
      <w:proofErr w:type="spellEnd"/>
      <w:r w:rsidRPr="00CA400C">
        <w:rPr>
          <w:szCs w:val="20"/>
        </w:rPr>
        <w:t xml:space="preserve"> SP263 PD</w:t>
      </w:r>
      <w:r w:rsidR="00B25D32" w:rsidRPr="00CA400C">
        <w:rPr>
          <w:szCs w:val="20"/>
        </w:rPr>
        <w:noBreakHyphen/>
      </w:r>
      <w:r w:rsidRPr="00CA400C">
        <w:rPr>
          <w:szCs w:val="20"/>
        </w:rPr>
        <w:t>L1 IHC assay is registered in Australia as a Class II diagnostic, but is not yet registered as a Class III diagnostic. An application to the TGA requesting Class III registration of the assay</w:t>
      </w:r>
    </w:p>
    <w:p w14:paraId="2DAF1F8D" w14:textId="7547AB7A" w:rsidR="00683FDD" w:rsidRPr="00CA400C" w:rsidRDefault="00683FDD" w:rsidP="00A6491A">
      <w:pPr>
        <w:spacing w:before="0" w:after="0"/>
        <w:ind w:left="284"/>
        <w:rPr>
          <w:szCs w:val="20"/>
        </w:rPr>
      </w:pPr>
      <w:proofErr w:type="gramStart"/>
      <w:r w:rsidRPr="00CA400C">
        <w:rPr>
          <w:szCs w:val="20"/>
        </w:rPr>
        <w:t>is</w:t>
      </w:r>
      <w:proofErr w:type="gramEnd"/>
      <w:r w:rsidRPr="00CA400C">
        <w:rPr>
          <w:szCs w:val="20"/>
        </w:rPr>
        <w:t xml:space="preserve"> planned. Details of the timing for this application are provided in the response to Question 17.</w:t>
      </w:r>
    </w:p>
    <w:p w14:paraId="7A1E5813" w14:textId="77777777" w:rsidR="003421AE" w:rsidRPr="00CA400C" w:rsidRDefault="0011369B" w:rsidP="00530204">
      <w:pPr>
        <w:pStyle w:val="Heading2"/>
      </w:pPr>
      <w:r w:rsidRPr="00CA400C">
        <w:t xml:space="preserve">(a) </w:t>
      </w:r>
      <w:r w:rsidR="003421AE" w:rsidRPr="00CA400C">
        <w:t xml:space="preserve">Is the therapeutic good to be used in the service exempt from the regulatory requirements of the </w:t>
      </w:r>
      <w:r w:rsidR="003421AE" w:rsidRPr="00CA400C">
        <w:rPr>
          <w:i/>
        </w:rPr>
        <w:t>Therapeutic Goods Act 1989</w:t>
      </w:r>
      <w:r w:rsidR="003421AE" w:rsidRPr="00CA400C">
        <w:t>?</w:t>
      </w:r>
    </w:p>
    <w:p w14:paraId="7925D18D" w14:textId="0DAF1C0F" w:rsidR="00615F42" w:rsidRPr="00CA400C" w:rsidRDefault="008051A7" w:rsidP="00A6491A">
      <w:pPr>
        <w:spacing w:before="0" w:after="0"/>
        <w:ind w:left="284"/>
        <w:rPr>
          <w:szCs w:val="20"/>
        </w:rPr>
      </w:pPr>
      <w:r w:rsidRPr="00CA400C">
        <w:rPr>
          <w:szCs w:val="20"/>
        </w:rPr>
        <w:fldChar w:fldCharType="begin">
          <w:ffData>
            <w:name w:val=""/>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00615F42" w:rsidRPr="00CA400C">
        <w:rPr>
          <w:szCs w:val="20"/>
        </w:rPr>
        <w:t xml:space="preserve"> Yes (If yes, please provide supporting documentation as an attachment to this application form)</w:t>
      </w:r>
    </w:p>
    <w:p w14:paraId="3AE509C8" w14:textId="32FF8EF2" w:rsidR="003421AE" w:rsidRPr="00CA400C" w:rsidRDefault="008051A7" w:rsidP="00A6491A">
      <w:pPr>
        <w:spacing w:before="0" w:after="0"/>
        <w:ind w:left="284"/>
        <w:rPr>
          <w:b/>
          <w:szCs w:val="20"/>
        </w:rPr>
      </w:pPr>
      <w:r w:rsidRPr="00CA400C">
        <w:rPr>
          <w:szCs w:val="20"/>
        </w:rPr>
        <w:fldChar w:fldCharType="begin">
          <w:ffData>
            <w:name w:val=""/>
            <w:enabled/>
            <w:calcOnExit w:val="0"/>
            <w:checkBox>
              <w:sizeAuto/>
              <w:default w:val="1"/>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00615F42" w:rsidRPr="00CA400C">
        <w:rPr>
          <w:szCs w:val="20"/>
        </w:rPr>
        <w:t xml:space="preserve"> No</w:t>
      </w:r>
    </w:p>
    <w:p w14:paraId="7FB5055C" w14:textId="77777777" w:rsidR="00D85676" w:rsidRPr="00CA400C" w:rsidRDefault="00D85676" w:rsidP="0011369B">
      <w:pPr>
        <w:pStyle w:val="Heading2"/>
        <w:numPr>
          <w:ilvl w:val="0"/>
          <w:numId w:val="28"/>
        </w:numPr>
      </w:pPr>
      <w:r w:rsidRPr="00CA400C">
        <w:t>If no, has it been listed or registered or included in the Australian Register of Therapeutic Goods (ARTG) by the Therapeutic Goods Administration (TGA)</w:t>
      </w:r>
      <w:r w:rsidR="00403333" w:rsidRPr="00CA400C">
        <w:t>?</w:t>
      </w:r>
    </w:p>
    <w:p w14:paraId="5E9B941B" w14:textId="77777777" w:rsidR="0043654D" w:rsidRPr="00CA400C" w:rsidRDefault="0043654D" w:rsidP="0043654D">
      <w:pPr>
        <w:spacing w:before="0" w:after="0"/>
        <w:ind w:left="284"/>
        <w:rPr>
          <w:szCs w:val="20"/>
        </w:rPr>
      </w:pPr>
      <w:r w:rsidRPr="00CA400C">
        <w:rPr>
          <w:szCs w:val="20"/>
        </w:rPr>
        <w:fldChar w:fldCharType="begin">
          <w:ffData>
            <w:name w:val="Check1"/>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Pr="00CA400C">
        <w:rPr>
          <w:szCs w:val="20"/>
        </w:rPr>
        <w:t xml:space="preserve"> Yes (if yes, please provide details below)</w:t>
      </w:r>
    </w:p>
    <w:p w14:paraId="118DA90D" w14:textId="35F489F3" w:rsidR="0043654D" w:rsidRPr="00CA400C" w:rsidRDefault="008051A7" w:rsidP="0043654D">
      <w:pPr>
        <w:spacing w:before="0" w:after="0"/>
        <w:ind w:left="284"/>
        <w:rPr>
          <w:szCs w:val="20"/>
        </w:rPr>
      </w:pPr>
      <w:r w:rsidRPr="00CA400C">
        <w:rPr>
          <w:szCs w:val="20"/>
        </w:rPr>
        <w:fldChar w:fldCharType="begin">
          <w:ffData>
            <w:name w:val=""/>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0043654D" w:rsidRPr="00CA400C">
        <w:rPr>
          <w:szCs w:val="20"/>
        </w:rPr>
        <w:t xml:space="preserve"> No</w:t>
      </w:r>
    </w:p>
    <w:p w14:paraId="029B1804" w14:textId="77777777" w:rsidR="0043654D" w:rsidRPr="00CA400C" w:rsidRDefault="0043654D" w:rsidP="0043654D">
      <w:pPr>
        <w:spacing w:before="0" w:after="0"/>
        <w:ind w:left="284"/>
        <w:rPr>
          <w:b/>
          <w:szCs w:val="20"/>
        </w:rPr>
      </w:pPr>
    </w:p>
    <w:p w14:paraId="12F4FF16" w14:textId="77777777" w:rsidR="00C0796F" w:rsidRPr="00CA400C" w:rsidRDefault="00C0796F" w:rsidP="00530204">
      <w:pPr>
        <w:pStyle w:val="Heading2"/>
      </w:pPr>
      <w:r w:rsidRPr="00CA400C">
        <w:t>If the therapeutic good has not been listed, registered or included in the ARTG, is the therapeutic good in the process of being considered for inclusion by the TGA?</w:t>
      </w:r>
    </w:p>
    <w:p w14:paraId="5BEABA39" w14:textId="77777777" w:rsidR="0047581D" w:rsidRPr="00CA400C" w:rsidRDefault="003C69DB" w:rsidP="0047581D">
      <w:pPr>
        <w:spacing w:before="0" w:after="0"/>
        <w:ind w:left="284"/>
        <w:rPr>
          <w:szCs w:val="20"/>
        </w:rPr>
      </w:pPr>
      <w:r w:rsidRPr="00CA400C">
        <w:rPr>
          <w:szCs w:val="20"/>
        </w:rPr>
        <w:fldChar w:fldCharType="begin">
          <w:ffData>
            <w:name w:val=""/>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0047581D" w:rsidRPr="00CA400C">
        <w:rPr>
          <w:szCs w:val="20"/>
        </w:rPr>
        <w:t xml:space="preserve"> Yes (please provide details below)</w:t>
      </w:r>
    </w:p>
    <w:p w14:paraId="56F6F545" w14:textId="0697BE13" w:rsidR="0047581D" w:rsidRPr="00CA400C" w:rsidRDefault="008051A7" w:rsidP="0047581D">
      <w:pPr>
        <w:spacing w:before="0" w:after="0"/>
        <w:ind w:left="284"/>
        <w:rPr>
          <w:szCs w:val="20"/>
        </w:rPr>
      </w:pPr>
      <w:r w:rsidRPr="00CA400C">
        <w:rPr>
          <w:szCs w:val="20"/>
        </w:rPr>
        <w:fldChar w:fldCharType="begin">
          <w:ffData>
            <w:name w:val=""/>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0047581D" w:rsidRPr="00CA400C">
        <w:rPr>
          <w:szCs w:val="20"/>
        </w:rPr>
        <w:t xml:space="preserve"> No</w:t>
      </w:r>
    </w:p>
    <w:p w14:paraId="5B2C4CBA" w14:textId="77777777" w:rsidR="0047581D" w:rsidRPr="00CA400C" w:rsidRDefault="0047581D" w:rsidP="0047581D">
      <w:pPr>
        <w:spacing w:before="0" w:after="0"/>
        <w:rPr>
          <w:b/>
          <w:szCs w:val="20"/>
        </w:rPr>
      </w:pPr>
    </w:p>
    <w:p w14:paraId="4D8874A7" w14:textId="77777777" w:rsidR="00C0796F" w:rsidRPr="00CA400C" w:rsidRDefault="000A110D" w:rsidP="00530204">
      <w:pPr>
        <w:pStyle w:val="Heading2"/>
      </w:pPr>
      <w:r w:rsidRPr="00CA400C">
        <w:t>I</w:t>
      </w:r>
      <w:r w:rsidR="00C0796F" w:rsidRPr="00CA400C">
        <w:t xml:space="preserve">f the therapeutic good </w:t>
      </w:r>
      <w:r w:rsidR="00F83A9D" w:rsidRPr="00CA400C">
        <w:t>is not in the process of being considered for listing</w:t>
      </w:r>
      <w:r w:rsidR="00C0796F" w:rsidRPr="00CA400C">
        <w:t xml:space="preserve">, </w:t>
      </w:r>
      <w:r w:rsidR="00F83A9D" w:rsidRPr="00CA400C">
        <w:t xml:space="preserve">registration </w:t>
      </w:r>
      <w:r w:rsidR="00C0796F" w:rsidRPr="00CA400C">
        <w:t xml:space="preserve">or </w:t>
      </w:r>
      <w:r w:rsidR="00F83A9D" w:rsidRPr="00CA400C">
        <w:t>inclusion by the TGA, is an application to the TGA being prepared?</w:t>
      </w:r>
    </w:p>
    <w:p w14:paraId="06F018E4" w14:textId="7B9B6386" w:rsidR="000A110D" w:rsidRPr="00CA400C" w:rsidRDefault="008051A7" w:rsidP="000A110D">
      <w:pPr>
        <w:spacing w:before="0" w:after="0"/>
        <w:ind w:left="284"/>
        <w:rPr>
          <w:szCs w:val="20"/>
        </w:rPr>
      </w:pPr>
      <w:r w:rsidRPr="00CA400C">
        <w:rPr>
          <w:szCs w:val="20"/>
        </w:rPr>
        <w:fldChar w:fldCharType="begin">
          <w:ffData>
            <w:name w:val=""/>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000A110D" w:rsidRPr="00CA400C">
        <w:rPr>
          <w:szCs w:val="20"/>
        </w:rPr>
        <w:t xml:space="preserve"> Yes (please provide details below)</w:t>
      </w:r>
    </w:p>
    <w:p w14:paraId="43F79DB9" w14:textId="77777777" w:rsidR="000A110D" w:rsidRPr="00CA400C" w:rsidRDefault="000A110D" w:rsidP="000A110D">
      <w:pPr>
        <w:spacing w:before="0" w:after="0"/>
        <w:ind w:left="284"/>
        <w:rPr>
          <w:szCs w:val="20"/>
        </w:rPr>
      </w:pPr>
      <w:r w:rsidRPr="00CA400C">
        <w:rPr>
          <w:szCs w:val="20"/>
        </w:rPr>
        <w:fldChar w:fldCharType="begin">
          <w:ffData>
            <w:name w:val="Check1"/>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Pr="00CA400C">
        <w:rPr>
          <w:szCs w:val="20"/>
        </w:rPr>
        <w:t xml:space="preserve"> No</w:t>
      </w:r>
    </w:p>
    <w:p w14:paraId="0D6A9335" w14:textId="77777777" w:rsidR="000A110D" w:rsidRPr="00CA400C" w:rsidRDefault="000A110D" w:rsidP="00971EDB">
      <w:pPr>
        <w:spacing w:before="0" w:after="0"/>
        <w:rPr>
          <w:szCs w:val="20"/>
        </w:rPr>
      </w:pPr>
    </w:p>
    <w:p w14:paraId="50AC6527" w14:textId="77777777" w:rsidR="00831FF4" w:rsidRPr="00CA400C" w:rsidRDefault="00831FF4" w:rsidP="00971EDB">
      <w:pPr>
        <w:spacing w:before="0" w:after="0"/>
        <w:rPr>
          <w:szCs w:val="20"/>
        </w:rPr>
      </w:pPr>
    </w:p>
    <w:p w14:paraId="00B17332" w14:textId="77777777" w:rsidR="00831FF4" w:rsidRPr="00CA400C" w:rsidRDefault="00831FF4" w:rsidP="00831FF4">
      <w:pPr>
        <w:spacing w:before="0" w:after="0"/>
        <w:rPr>
          <w:szCs w:val="20"/>
        </w:rPr>
      </w:pPr>
      <w:r w:rsidRPr="00CA400C">
        <w:rPr>
          <w:szCs w:val="20"/>
        </w:rPr>
        <w:t xml:space="preserve">Estimated date of submission to TGA: </w:t>
      </w:r>
    </w:p>
    <w:p w14:paraId="4B1B1BD4" w14:textId="50ACFA2B" w:rsidR="00831FF4" w:rsidRPr="00CA400C" w:rsidRDefault="008051A7" w:rsidP="00831FF4">
      <w:pPr>
        <w:spacing w:before="0" w:after="0"/>
        <w:ind w:left="284"/>
        <w:rPr>
          <w:szCs w:val="20"/>
        </w:rPr>
      </w:pPr>
      <w:r w:rsidRPr="00CA400C">
        <w:rPr>
          <w:szCs w:val="20"/>
        </w:rPr>
        <w:t>Redacted</w:t>
      </w:r>
    </w:p>
    <w:p w14:paraId="6A0771F0" w14:textId="77777777" w:rsidR="00831FF4" w:rsidRPr="00CA400C" w:rsidRDefault="00831FF4" w:rsidP="00831FF4">
      <w:pPr>
        <w:spacing w:before="0" w:after="0"/>
        <w:rPr>
          <w:szCs w:val="20"/>
        </w:rPr>
      </w:pPr>
    </w:p>
    <w:p w14:paraId="3AAAE525" w14:textId="77777777" w:rsidR="00831FF4" w:rsidRPr="00CA400C" w:rsidRDefault="00831FF4" w:rsidP="00831FF4">
      <w:pPr>
        <w:spacing w:before="0" w:after="0"/>
        <w:rPr>
          <w:szCs w:val="20"/>
        </w:rPr>
      </w:pPr>
      <w:r w:rsidRPr="00CA400C">
        <w:rPr>
          <w:szCs w:val="20"/>
        </w:rPr>
        <w:lastRenderedPageBreak/>
        <w:t>Proposed indication(s), if applicable:</w:t>
      </w:r>
    </w:p>
    <w:p w14:paraId="492597EE" w14:textId="79B3226E" w:rsidR="00831FF4" w:rsidRPr="00CA400C" w:rsidRDefault="008051A7" w:rsidP="00831FF4">
      <w:pPr>
        <w:spacing w:before="0" w:after="0"/>
        <w:ind w:left="284"/>
        <w:rPr>
          <w:szCs w:val="20"/>
        </w:rPr>
      </w:pPr>
      <w:r w:rsidRPr="00CA400C">
        <w:rPr>
          <w:szCs w:val="20"/>
        </w:rPr>
        <w:t>Redacted</w:t>
      </w:r>
    </w:p>
    <w:p w14:paraId="424256FC" w14:textId="77777777" w:rsidR="00105CC6" w:rsidRPr="00CA400C" w:rsidRDefault="00105CC6" w:rsidP="00971EDB">
      <w:pPr>
        <w:spacing w:before="0" w:after="0"/>
        <w:rPr>
          <w:szCs w:val="20"/>
        </w:rPr>
      </w:pPr>
    </w:p>
    <w:p w14:paraId="060FCD01" w14:textId="77777777" w:rsidR="00105CC6" w:rsidRPr="00CA400C" w:rsidRDefault="00971EDB" w:rsidP="00971EDB">
      <w:pPr>
        <w:spacing w:before="0" w:after="0"/>
        <w:rPr>
          <w:szCs w:val="20"/>
        </w:rPr>
      </w:pPr>
      <w:r w:rsidRPr="00CA400C">
        <w:rPr>
          <w:szCs w:val="20"/>
        </w:rPr>
        <w:t>Proposed purpose(s), if applicable</w:t>
      </w:r>
      <w:r w:rsidR="00105CC6" w:rsidRPr="00CA400C">
        <w:rPr>
          <w:szCs w:val="20"/>
        </w:rPr>
        <w:t xml:space="preserve">: </w:t>
      </w:r>
      <w:r w:rsidR="00831FF4" w:rsidRPr="00CA400C">
        <w:rPr>
          <w:szCs w:val="20"/>
        </w:rPr>
        <w:t xml:space="preserve"> </w:t>
      </w:r>
    </w:p>
    <w:p w14:paraId="27384F78" w14:textId="21CF1811" w:rsidR="00971EDB" w:rsidRPr="00CA400C" w:rsidRDefault="008051A7" w:rsidP="00831FF4">
      <w:pPr>
        <w:spacing w:before="0" w:after="0"/>
        <w:ind w:left="284"/>
        <w:rPr>
          <w:szCs w:val="20"/>
        </w:rPr>
      </w:pPr>
      <w:r w:rsidRPr="00CA400C">
        <w:t>Redacted</w:t>
      </w:r>
    </w:p>
    <w:p w14:paraId="364D7999" w14:textId="77777777" w:rsidR="00F83A9D" w:rsidRPr="00CA400C" w:rsidRDefault="00F83A9D" w:rsidP="00F83A9D">
      <w:pPr>
        <w:rPr>
          <w:szCs w:val="20"/>
        </w:rPr>
      </w:pPr>
    </w:p>
    <w:p w14:paraId="553EB59A" w14:textId="77777777" w:rsidR="00DD308E" w:rsidRPr="00CA400C" w:rsidRDefault="00DD308E">
      <w:pPr>
        <w:rPr>
          <w:b/>
          <w:sz w:val="32"/>
          <w:szCs w:val="32"/>
        </w:rPr>
        <w:sectPr w:rsidR="00DD308E" w:rsidRPr="00CA400C" w:rsidSect="00991EE4">
          <w:footerReference w:type="default" r:id="rId12"/>
          <w:pgSz w:w="11906" w:h="16838"/>
          <w:pgMar w:top="1440" w:right="1440" w:bottom="1440" w:left="1440" w:header="708" w:footer="708" w:gutter="0"/>
          <w:pgNumType w:start="0"/>
          <w:cols w:space="708"/>
          <w:titlePg/>
          <w:docGrid w:linePitch="360"/>
        </w:sectPr>
      </w:pPr>
    </w:p>
    <w:p w14:paraId="61C9B8AC" w14:textId="77777777" w:rsidR="00DD308E" w:rsidRPr="00CA400C" w:rsidRDefault="00B17CBE" w:rsidP="00950448">
      <w:pPr>
        <w:pStyle w:val="Heading1"/>
        <w:rPr>
          <w:i/>
        </w:rPr>
      </w:pPr>
      <w:r w:rsidRPr="00CA400C">
        <w:lastRenderedPageBreak/>
        <w:t>PART 4</w:t>
      </w:r>
      <w:r w:rsidR="00DD308E" w:rsidRPr="00CA400C">
        <w:t xml:space="preserve"> – SUMMARY OF EVIDENCE</w:t>
      </w:r>
      <w:r w:rsidR="00950448" w:rsidRPr="00CA400C">
        <w:t xml:space="preserve"> </w:t>
      </w:r>
    </w:p>
    <w:p w14:paraId="2C5E7521" w14:textId="77777777" w:rsidR="002A431B" w:rsidRPr="00CA400C" w:rsidRDefault="002A431B" w:rsidP="002A431B">
      <w:pPr>
        <w:pStyle w:val="Heading2"/>
        <w:rPr>
          <w:i/>
        </w:rPr>
      </w:pPr>
      <w:r w:rsidRPr="00CA400C">
        <w:t xml:space="preserve">Provide an overview of all key journal articles or research published in the public domain related to the proposed service that is for your application (limiting these to the English language only). </w:t>
      </w:r>
      <w:r w:rsidRPr="00CA400C">
        <w:rPr>
          <w:i/>
        </w:rPr>
        <w:t xml:space="preserve">Please do not attach full text </w:t>
      </w:r>
      <w:proofErr w:type="gramStart"/>
      <w:r w:rsidRPr="00CA400C">
        <w:rPr>
          <w:i/>
        </w:rPr>
        <w:t>articles,</w:t>
      </w:r>
      <w:proofErr w:type="gramEnd"/>
      <w:r w:rsidRPr="00CA400C">
        <w:rPr>
          <w:i/>
        </w:rPr>
        <w:t xml:space="preserve"> this is just intended to be a summary.</w:t>
      </w:r>
    </w:p>
    <w:p w14:paraId="3EC04EED" w14:textId="77777777" w:rsidR="002A431B" w:rsidRPr="00CA400C" w:rsidRDefault="002A431B" w:rsidP="002A431B"/>
    <w:tbl>
      <w:tblPr>
        <w:tblStyle w:val="TableGrid"/>
        <w:tblW w:w="5000" w:type="pct"/>
        <w:tblLook w:val="04A0" w:firstRow="1" w:lastRow="0" w:firstColumn="1" w:lastColumn="0" w:noHBand="0" w:noVBand="1"/>
        <w:tblCaption w:val="Summary of Evidence - Published"/>
      </w:tblPr>
      <w:tblGrid>
        <w:gridCol w:w="404"/>
        <w:gridCol w:w="2657"/>
        <w:gridCol w:w="2643"/>
        <w:gridCol w:w="3410"/>
        <w:gridCol w:w="3722"/>
        <w:gridCol w:w="1338"/>
      </w:tblGrid>
      <w:tr w:rsidR="00DF6105" w:rsidRPr="00CA400C" w14:paraId="71C3A802" w14:textId="77777777" w:rsidTr="00DF6105">
        <w:trPr>
          <w:cantSplit/>
          <w:tblHeader/>
        </w:trPr>
        <w:tc>
          <w:tcPr>
            <w:tcW w:w="142" w:type="pct"/>
          </w:tcPr>
          <w:p w14:paraId="72A0AF10" w14:textId="77777777" w:rsidR="002A431B" w:rsidRPr="00CA400C" w:rsidRDefault="002A431B" w:rsidP="001A15E9">
            <w:pPr>
              <w:pStyle w:val="TableHEADER"/>
            </w:pPr>
          </w:p>
        </w:tc>
        <w:tc>
          <w:tcPr>
            <w:tcW w:w="937" w:type="pct"/>
          </w:tcPr>
          <w:p w14:paraId="1968F845" w14:textId="77777777" w:rsidR="002A431B" w:rsidRPr="00CA400C" w:rsidRDefault="002A431B" w:rsidP="001A15E9">
            <w:pPr>
              <w:pStyle w:val="TableHEADER"/>
              <w:ind w:left="57"/>
            </w:pPr>
            <w:r w:rsidRPr="00CA400C">
              <w:t>Type of study design</w:t>
            </w:r>
          </w:p>
        </w:tc>
        <w:tc>
          <w:tcPr>
            <w:tcW w:w="932" w:type="pct"/>
          </w:tcPr>
          <w:p w14:paraId="6B09217E" w14:textId="77777777" w:rsidR="002A431B" w:rsidRPr="00CA400C" w:rsidRDefault="002A431B" w:rsidP="001A15E9">
            <w:pPr>
              <w:pStyle w:val="TableHEADER"/>
              <w:ind w:left="57"/>
            </w:pPr>
            <w:r w:rsidRPr="00CA400C">
              <w:t>Title of journal article or research project (including any trial identifier or study lead if relevant)</w:t>
            </w:r>
          </w:p>
        </w:tc>
        <w:tc>
          <w:tcPr>
            <w:tcW w:w="1203" w:type="pct"/>
          </w:tcPr>
          <w:p w14:paraId="5856C1FA" w14:textId="77777777" w:rsidR="002A431B" w:rsidRPr="00CA400C" w:rsidRDefault="002A431B" w:rsidP="001A15E9">
            <w:pPr>
              <w:pStyle w:val="TableHEADER"/>
              <w:ind w:left="57"/>
            </w:pPr>
            <w:r w:rsidRPr="00CA400C">
              <w:t>Short description of research (max 50 words)</w:t>
            </w:r>
          </w:p>
        </w:tc>
        <w:tc>
          <w:tcPr>
            <w:tcW w:w="1312" w:type="pct"/>
          </w:tcPr>
          <w:p w14:paraId="135C808B" w14:textId="77777777" w:rsidR="002A431B" w:rsidRPr="00CA400C" w:rsidRDefault="002A431B" w:rsidP="001A15E9">
            <w:pPr>
              <w:pStyle w:val="TableHEADER"/>
              <w:ind w:left="57"/>
            </w:pPr>
            <w:r w:rsidRPr="00CA400C">
              <w:t>Website link to journal article or research (if available)</w:t>
            </w:r>
          </w:p>
        </w:tc>
        <w:tc>
          <w:tcPr>
            <w:tcW w:w="472" w:type="pct"/>
          </w:tcPr>
          <w:p w14:paraId="5EBC1D7A" w14:textId="77777777" w:rsidR="002A431B" w:rsidRPr="00CA400C" w:rsidRDefault="002A431B" w:rsidP="001A15E9">
            <w:pPr>
              <w:pStyle w:val="TableHEADER"/>
              <w:ind w:left="57"/>
            </w:pPr>
            <w:r w:rsidRPr="00CA400C">
              <w:t>Date of publication</w:t>
            </w:r>
          </w:p>
        </w:tc>
      </w:tr>
      <w:tr w:rsidR="00DF6105" w:rsidRPr="00CA400C" w14:paraId="3DCEBB48" w14:textId="77777777" w:rsidTr="00DF6105">
        <w:trPr>
          <w:cantSplit/>
        </w:trPr>
        <w:tc>
          <w:tcPr>
            <w:tcW w:w="142" w:type="pct"/>
          </w:tcPr>
          <w:p w14:paraId="7A115AFF" w14:textId="77777777" w:rsidR="002A431B" w:rsidRPr="00CA400C" w:rsidRDefault="002A431B" w:rsidP="001A15E9">
            <w:pPr>
              <w:ind w:left="29"/>
              <w:rPr>
                <w:szCs w:val="20"/>
              </w:rPr>
            </w:pPr>
            <w:r w:rsidRPr="00CA400C">
              <w:rPr>
                <w:szCs w:val="20"/>
              </w:rPr>
              <w:t>1.</w:t>
            </w:r>
          </w:p>
        </w:tc>
        <w:tc>
          <w:tcPr>
            <w:tcW w:w="937" w:type="pct"/>
          </w:tcPr>
          <w:p w14:paraId="06DCD5A9" w14:textId="77777777" w:rsidR="002A431B" w:rsidRPr="00CA400C" w:rsidRDefault="002A431B" w:rsidP="001A15E9">
            <w:pPr>
              <w:ind w:left="57"/>
              <w:rPr>
                <w:b/>
                <w:szCs w:val="20"/>
              </w:rPr>
            </w:pPr>
            <w:r w:rsidRPr="00CA400C">
              <w:t>Non</w:t>
            </w:r>
            <w:r w:rsidRPr="00CA400C">
              <w:noBreakHyphen/>
              <w:t>randomised Phase I/II study</w:t>
            </w:r>
          </w:p>
        </w:tc>
        <w:tc>
          <w:tcPr>
            <w:tcW w:w="932" w:type="pct"/>
          </w:tcPr>
          <w:p w14:paraId="60FD72F5" w14:textId="77777777" w:rsidR="002A431B" w:rsidRPr="00CA400C" w:rsidRDefault="002A431B" w:rsidP="001A15E9">
            <w:pPr>
              <w:ind w:left="57"/>
            </w:pPr>
            <w:r w:rsidRPr="00CA400C">
              <w:t>Development of a programmed cell death ligand</w:t>
            </w:r>
            <w:r w:rsidRPr="00CA400C">
              <w:noBreakHyphen/>
              <w:t xml:space="preserve">1 </w:t>
            </w:r>
            <w:proofErr w:type="spellStart"/>
            <w:r w:rsidRPr="00CA400C">
              <w:t>immunohistochemical</w:t>
            </w:r>
            <w:proofErr w:type="spellEnd"/>
            <w:r w:rsidRPr="00CA400C">
              <w:t xml:space="preserve"> assay validated for analysis of non</w:t>
            </w:r>
            <w:r w:rsidRPr="00CA400C">
              <w:noBreakHyphen/>
              <w:t>small cell lung cancer and head and neck squamous cell carcinoma.</w:t>
            </w:r>
          </w:p>
          <w:p w14:paraId="7441F80A" w14:textId="77777777" w:rsidR="00F1375C" w:rsidRPr="00CA400C" w:rsidRDefault="002A431B" w:rsidP="001A15E9">
            <w:pPr>
              <w:ind w:left="57"/>
            </w:pPr>
            <w:r w:rsidRPr="00CA400C">
              <w:t>(Study 1108)</w:t>
            </w:r>
          </w:p>
          <w:p w14:paraId="7630148A" w14:textId="039B34B7" w:rsidR="002A431B" w:rsidRPr="00CA400C" w:rsidRDefault="00F1375C" w:rsidP="001A15E9">
            <w:pPr>
              <w:ind w:left="57"/>
              <w:rPr>
                <w:b/>
                <w:szCs w:val="20"/>
              </w:rPr>
            </w:pPr>
            <w:r w:rsidRPr="00CA400C">
              <w:t>Clinicaltrials.gov identifier: NCT01693562</w:t>
            </w:r>
          </w:p>
        </w:tc>
        <w:tc>
          <w:tcPr>
            <w:tcW w:w="1203" w:type="pct"/>
          </w:tcPr>
          <w:p w14:paraId="2D90F5C9" w14:textId="77777777" w:rsidR="002A431B" w:rsidRPr="00CA400C" w:rsidRDefault="002A431B" w:rsidP="001A15E9">
            <w:pPr>
              <w:ind w:left="57"/>
            </w:pPr>
            <w:r w:rsidRPr="00CA400C">
              <w:t>Study 1108 is a multicentre, open</w:t>
            </w:r>
            <w:r w:rsidRPr="00CA400C">
              <w:noBreakHyphen/>
              <w:t>label, first</w:t>
            </w:r>
            <w:r w:rsidRPr="00CA400C">
              <w:noBreakHyphen/>
              <w:t>in</w:t>
            </w:r>
            <w:r w:rsidRPr="00CA400C">
              <w:noBreakHyphen/>
              <w:t xml:space="preserve">human study in which </w:t>
            </w:r>
            <w:proofErr w:type="spellStart"/>
            <w:r w:rsidRPr="00CA400C">
              <w:t>durvalumab</w:t>
            </w:r>
            <w:proofErr w:type="spellEnd"/>
            <w:r w:rsidRPr="00CA400C">
              <w:t xml:space="preserve"> 10 mg/kg q2w treatment for up to one year was selected for the Phase II dose expansion phase to assess safety, tolerability and efficacy. PD</w:t>
            </w:r>
            <w:r w:rsidRPr="00CA400C">
              <w:noBreakHyphen/>
              <w:t>L1 expression was determined at baseline with PD</w:t>
            </w:r>
            <w:r w:rsidRPr="00CA400C">
              <w:noBreakHyphen/>
              <w:t>L1 high cut</w:t>
            </w:r>
            <w:r w:rsidRPr="00CA400C">
              <w:noBreakHyphen/>
              <w:t xml:space="preserve">off ≥25% in tumour tissue using the SP263 assay optimised on the </w:t>
            </w:r>
            <w:proofErr w:type="spellStart"/>
            <w:r w:rsidRPr="00CA400C">
              <w:t>BenchMark</w:t>
            </w:r>
            <w:proofErr w:type="spellEnd"/>
            <w:r w:rsidRPr="00CA400C">
              <w:t xml:space="preserve"> ULTRA platform (</w:t>
            </w:r>
            <w:proofErr w:type="spellStart"/>
            <w:r w:rsidRPr="00CA400C">
              <w:t>Ventana</w:t>
            </w:r>
            <w:proofErr w:type="spellEnd"/>
            <w:r w:rsidRPr="00CA400C">
              <w:t xml:space="preserve"> Medical Systems </w:t>
            </w:r>
            <w:proofErr w:type="spellStart"/>
            <w:r w:rsidRPr="00CA400C">
              <w:t>Inc</w:t>
            </w:r>
            <w:proofErr w:type="spellEnd"/>
            <w:r w:rsidRPr="00CA400C">
              <w:t>).</w:t>
            </w:r>
          </w:p>
          <w:p w14:paraId="4233FA7F" w14:textId="5F86564F" w:rsidR="002A431B" w:rsidRPr="00CA400C" w:rsidRDefault="002A431B" w:rsidP="001A15E9">
            <w:pPr>
              <w:ind w:left="57"/>
              <w:rPr>
                <w:b/>
                <w:szCs w:val="20"/>
              </w:rPr>
            </w:pPr>
          </w:p>
        </w:tc>
        <w:tc>
          <w:tcPr>
            <w:tcW w:w="1312" w:type="pct"/>
          </w:tcPr>
          <w:p w14:paraId="5F1DC429" w14:textId="77777777" w:rsidR="002A431B" w:rsidRPr="00CA400C" w:rsidRDefault="002A431B" w:rsidP="001A15E9">
            <w:pPr>
              <w:ind w:left="57"/>
            </w:pPr>
            <w:proofErr w:type="spellStart"/>
            <w:r w:rsidRPr="00CA400C">
              <w:t>Rebelatto</w:t>
            </w:r>
            <w:proofErr w:type="spellEnd"/>
            <w:r w:rsidRPr="00CA400C">
              <w:t xml:space="preserve"> MC et al. Diagnostic Pathology 2016; 11:95. DOI 10.1186/s13000</w:t>
            </w:r>
            <w:r w:rsidRPr="00CA400C">
              <w:noBreakHyphen/>
              <w:t>016</w:t>
            </w:r>
            <w:r w:rsidRPr="00CA400C">
              <w:noBreakHyphen/>
              <w:t>0545</w:t>
            </w:r>
            <w:r w:rsidRPr="00CA400C">
              <w:noBreakHyphen/>
              <w:t>8.</w:t>
            </w:r>
          </w:p>
          <w:p w14:paraId="479AE7D3" w14:textId="4C26A820" w:rsidR="00596A55" w:rsidRPr="00CA400C" w:rsidRDefault="002A431B" w:rsidP="00596A55">
            <w:pPr>
              <w:ind w:left="57"/>
            </w:pPr>
            <w:r w:rsidRPr="00CA400C">
              <w:t xml:space="preserve">Link to publication </w:t>
            </w:r>
            <w:hyperlink r:id="rId13" w:history="1">
              <w:r w:rsidR="00C23237" w:rsidRPr="00CA400C">
                <w:rPr>
                  <w:rStyle w:val="Hyperlink"/>
                </w:rPr>
                <w:t>here</w:t>
              </w:r>
            </w:hyperlink>
            <w:r w:rsidRPr="00CA400C">
              <w:t>.</w:t>
            </w:r>
          </w:p>
          <w:p w14:paraId="13FB3390" w14:textId="782F0958" w:rsidR="002A431B" w:rsidRPr="00CA400C" w:rsidRDefault="00596A55" w:rsidP="007D26A8">
            <w:pPr>
              <w:ind w:left="57"/>
            </w:pPr>
            <w:r w:rsidRPr="00CA400C">
              <w:t>This publication presents the results of the validation study of the assay</w:t>
            </w:r>
            <w:r w:rsidR="007D26A8" w:rsidRPr="00CA400C">
              <w:t xml:space="preserve"> using samples from Study 1108.</w:t>
            </w:r>
          </w:p>
        </w:tc>
        <w:tc>
          <w:tcPr>
            <w:tcW w:w="472" w:type="pct"/>
          </w:tcPr>
          <w:p w14:paraId="26F5C68C" w14:textId="77777777" w:rsidR="002A431B" w:rsidRPr="00CA400C" w:rsidRDefault="002A431B" w:rsidP="001A15E9">
            <w:pPr>
              <w:ind w:left="57"/>
              <w:rPr>
                <w:szCs w:val="20"/>
              </w:rPr>
            </w:pPr>
            <w:r w:rsidRPr="00CA400C">
              <w:rPr>
                <w:szCs w:val="20"/>
              </w:rPr>
              <w:t>2016</w:t>
            </w:r>
          </w:p>
        </w:tc>
      </w:tr>
      <w:tr w:rsidR="00DF6105" w:rsidRPr="00CA400C" w14:paraId="067CC52B" w14:textId="77777777" w:rsidTr="00DF6105">
        <w:trPr>
          <w:cantSplit/>
        </w:trPr>
        <w:tc>
          <w:tcPr>
            <w:tcW w:w="142" w:type="pct"/>
          </w:tcPr>
          <w:p w14:paraId="67E4466E" w14:textId="6B1DEDE3" w:rsidR="00324798" w:rsidRPr="00CA400C" w:rsidRDefault="00801046" w:rsidP="001A15E9">
            <w:pPr>
              <w:ind w:left="29"/>
              <w:rPr>
                <w:szCs w:val="20"/>
              </w:rPr>
            </w:pPr>
            <w:r w:rsidRPr="00CA400C">
              <w:rPr>
                <w:szCs w:val="20"/>
              </w:rPr>
              <w:lastRenderedPageBreak/>
              <w:t>2.</w:t>
            </w:r>
          </w:p>
        </w:tc>
        <w:tc>
          <w:tcPr>
            <w:tcW w:w="937" w:type="pct"/>
          </w:tcPr>
          <w:p w14:paraId="3B6ED795" w14:textId="12D27E94" w:rsidR="00324798" w:rsidRPr="00CA400C" w:rsidRDefault="00801046" w:rsidP="001A15E9">
            <w:pPr>
              <w:ind w:left="57"/>
            </w:pPr>
            <w:r w:rsidRPr="00CA400C">
              <w:t>Non</w:t>
            </w:r>
            <w:r w:rsidRPr="00CA400C">
              <w:noBreakHyphen/>
              <w:t>randomised Phase I/II study</w:t>
            </w:r>
          </w:p>
        </w:tc>
        <w:tc>
          <w:tcPr>
            <w:tcW w:w="932" w:type="pct"/>
          </w:tcPr>
          <w:p w14:paraId="768B0FD3" w14:textId="6316C127" w:rsidR="00324798" w:rsidRPr="00CA400C" w:rsidRDefault="00801046" w:rsidP="007D26A8">
            <w:pPr>
              <w:ind w:left="57"/>
            </w:pPr>
            <w:r w:rsidRPr="00CA400C">
              <w:t xml:space="preserve">Updated safety and efficacy of </w:t>
            </w:r>
            <w:proofErr w:type="spellStart"/>
            <w:r w:rsidRPr="00CA400C">
              <w:t>durvalumab</w:t>
            </w:r>
            <w:proofErr w:type="spellEnd"/>
            <w:r w:rsidRPr="00CA400C">
              <w:t xml:space="preserve"> (MEDI4736), an </w:t>
            </w:r>
            <w:r w:rsidR="007D26A8" w:rsidRPr="00CA400C">
              <w:t>anti -PD</w:t>
            </w:r>
            <w:r w:rsidRPr="00CA400C">
              <w:t xml:space="preserve">-L1 antibody, in patients from a head and neck squamous cell carcinoma cell carcinoma </w:t>
            </w:r>
            <w:r w:rsidR="007D26A8" w:rsidRPr="00CA400C">
              <w:t>(HNSCC) expansion cohort</w:t>
            </w:r>
          </w:p>
          <w:p w14:paraId="3F9106EF" w14:textId="77777777" w:rsidR="00F1375C" w:rsidRPr="00CA400C" w:rsidRDefault="007D26A8" w:rsidP="007D26A8">
            <w:pPr>
              <w:ind w:left="57"/>
            </w:pPr>
            <w:r w:rsidRPr="00CA400C">
              <w:t>(Study 1108)</w:t>
            </w:r>
          </w:p>
          <w:p w14:paraId="26513F01" w14:textId="03FDED9B" w:rsidR="007D26A8" w:rsidRPr="00CA400C" w:rsidRDefault="00F1375C" w:rsidP="007D26A8">
            <w:pPr>
              <w:ind w:left="57"/>
            </w:pPr>
            <w:r w:rsidRPr="00CA400C">
              <w:t>Clinicaltrials.gov identifier: NCT01693562</w:t>
            </w:r>
          </w:p>
        </w:tc>
        <w:tc>
          <w:tcPr>
            <w:tcW w:w="1203" w:type="pct"/>
          </w:tcPr>
          <w:p w14:paraId="2B5EEE2A" w14:textId="77777777" w:rsidR="007D26A8" w:rsidRPr="00CA400C" w:rsidRDefault="007D26A8" w:rsidP="007D26A8">
            <w:pPr>
              <w:ind w:left="57"/>
            </w:pPr>
            <w:r w:rsidRPr="00CA400C">
              <w:t>Study 1108 is a multicentre, open</w:t>
            </w:r>
            <w:r w:rsidRPr="00CA400C">
              <w:noBreakHyphen/>
              <w:t>label, first</w:t>
            </w:r>
            <w:r w:rsidRPr="00CA400C">
              <w:noBreakHyphen/>
              <w:t>in</w:t>
            </w:r>
            <w:r w:rsidRPr="00CA400C">
              <w:noBreakHyphen/>
              <w:t xml:space="preserve">human study in which </w:t>
            </w:r>
            <w:proofErr w:type="spellStart"/>
            <w:r w:rsidRPr="00CA400C">
              <w:t>durvalumab</w:t>
            </w:r>
            <w:proofErr w:type="spellEnd"/>
            <w:r w:rsidRPr="00CA400C">
              <w:t xml:space="preserve"> 10 mg/kg q2w treatment for up to one year was selected for the Phase II dose expansion phase to assess safety, tolerability and efficacy. PD</w:t>
            </w:r>
            <w:r w:rsidRPr="00CA400C">
              <w:noBreakHyphen/>
              <w:t>L1 expression was determined at baseline with PD</w:t>
            </w:r>
            <w:r w:rsidRPr="00CA400C">
              <w:noBreakHyphen/>
              <w:t>L1 high cut</w:t>
            </w:r>
            <w:r w:rsidRPr="00CA400C">
              <w:noBreakHyphen/>
              <w:t xml:space="preserve">off ≥25% in tumour tissue using the SP263 assay optimised on the </w:t>
            </w:r>
            <w:proofErr w:type="spellStart"/>
            <w:r w:rsidRPr="00CA400C">
              <w:t>BenchMark</w:t>
            </w:r>
            <w:proofErr w:type="spellEnd"/>
            <w:r w:rsidRPr="00CA400C">
              <w:t xml:space="preserve"> ULTRA platform (</w:t>
            </w:r>
            <w:proofErr w:type="spellStart"/>
            <w:r w:rsidRPr="00CA400C">
              <w:t>Ventana</w:t>
            </w:r>
            <w:proofErr w:type="spellEnd"/>
            <w:r w:rsidRPr="00CA400C">
              <w:t xml:space="preserve"> Medical Systems </w:t>
            </w:r>
            <w:proofErr w:type="spellStart"/>
            <w:r w:rsidRPr="00CA400C">
              <w:t>Inc</w:t>
            </w:r>
            <w:proofErr w:type="spellEnd"/>
            <w:r w:rsidRPr="00CA400C">
              <w:t>).</w:t>
            </w:r>
          </w:p>
          <w:p w14:paraId="15EAD4F8" w14:textId="5FA03E19" w:rsidR="00324798" w:rsidRPr="00CA400C" w:rsidRDefault="00324798" w:rsidP="007D26A8">
            <w:pPr>
              <w:ind w:left="57"/>
            </w:pPr>
          </w:p>
        </w:tc>
        <w:tc>
          <w:tcPr>
            <w:tcW w:w="1312" w:type="pct"/>
          </w:tcPr>
          <w:p w14:paraId="0454E311" w14:textId="5960FDAF" w:rsidR="00324798" w:rsidRPr="00CA400C" w:rsidRDefault="007D26A8" w:rsidP="001A15E9">
            <w:pPr>
              <w:ind w:left="57"/>
            </w:pPr>
            <w:r w:rsidRPr="00CA400C">
              <w:t xml:space="preserve">Segal MH et al. </w:t>
            </w:r>
            <w:r w:rsidR="00A226FD" w:rsidRPr="00CA400C">
              <w:t>Annals of Oncology 2016; 27(6):</w:t>
            </w:r>
            <w:r w:rsidR="00A226FD" w:rsidRPr="00CA400C">
              <w:br/>
              <w:t xml:space="preserve">328–350. </w:t>
            </w:r>
            <w:r w:rsidR="00AD337F" w:rsidRPr="00CA400C">
              <w:br/>
              <w:t>DOI: 10.1093/</w:t>
            </w:r>
            <w:proofErr w:type="spellStart"/>
            <w:r w:rsidR="00AD337F" w:rsidRPr="00CA400C">
              <w:t>annonc</w:t>
            </w:r>
            <w:proofErr w:type="spellEnd"/>
            <w:r w:rsidR="00AD337F" w:rsidRPr="00CA400C">
              <w:t>/mdw376</w:t>
            </w:r>
          </w:p>
          <w:p w14:paraId="559DA75F" w14:textId="77777777" w:rsidR="00A226FD" w:rsidRPr="00CA400C" w:rsidRDefault="00A226FD" w:rsidP="001A15E9">
            <w:pPr>
              <w:ind w:left="57"/>
            </w:pPr>
            <w:r w:rsidRPr="00CA400C">
              <w:t xml:space="preserve">Link to publication </w:t>
            </w:r>
            <w:hyperlink r:id="rId14" w:history="1">
              <w:r w:rsidRPr="00CA400C">
                <w:rPr>
                  <w:rStyle w:val="Hyperlink"/>
                </w:rPr>
                <w:t>here</w:t>
              </w:r>
            </w:hyperlink>
          </w:p>
          <w:p w14:paraId="6CF8EC22" w14:textId="4FC37349" w:rsidR="00A226FD" w:rsidRPr="00CA400C" w:rsidRDefault="00A226FD" w:rsidP="001A15E9">
            <w:pPr>
              <w:ind w:left="57"/>
            </w:pPr>
            <w:r w:rsidRPr="00CA400C">
              <w:t>This publication presents updated safety and efficacy results for the SCCHN cohort of study 1108. Further results for this cohort will be available in early 2018.</w:t>
            </w:r>
          </w:p>
        </w:tc>
        <w:tc>
          <w:tcPr>
            <w:tcW w:w="472" w:type="pct"/>
          </w:tcPr>
          <w:p w14:paraId="2487BD7A" w14:textId="0781BD3A" w:rsidR="00324798" w:rsidRPr="00CA400C" w:rsidRDefault="007D26A8" w:rsidP="001A15E9">
            <w:pPr>
              <w:ind w:left="57"/>
              <w:rPr>
                <w:szCs w:val="20"/>
              </w:rPr>
            </w:pPr>
            <w:r w:rsidRPr="00CA400C">
              <w:rPr>
                <w:szCs w:val="20"/>
              </w:rPr>
              <w:t>2016</w:t>
            </w:r>
          </w:p>
        </w:tc>
      </w:tr>
      <w:tr w:rsidR="00DF6105" w:rsidRPr="00CA400C" w14:paraId="25EA2A67" w14:textId="77777777" w:rsidTr="00DF6105">
        <w:trPr>
          <w:cantSplit/>
        </w:trPr>
        <w:tc>
          <w:tcPr>
            <w:tcW w:w="142" w:type="pct"/>
          </w:tcPr>
          <w:p w14:paraId="5E3672CD" w14:textId="10883988" w:rsidR="00B16010" w:rsidRPr="00CA400C" w:rsidRDefault="006354EE" w:rsidP="001A15E9">
            <w:pPr>
              <w:ind w:left="29"/>
              <w:rPr>
                <w:szCs w:val="20"/>
              </w:rPr>
            </w:pPr>
            <w:r w:rsidRPr="00CA400C">
              <w:rPr>
                <w:szCs w:val="20"/>
              </w:rPr>
              <w:t>3</w:t>
            </w:r>
            <w:r w:rsidR="00B16010" w:rsidRPr="00CA400C">
              <w:rPr>
                <w:szCs w:val="20"/>
              </w:rPr>
              <w:t>.</w:t>
            </w:r>
          </w:p>
        </w:tc>
        <w:tc>
          <w:tcPr>
            <w:tcW w:w="937" w:type="pct"/>
          </w:tcPr>
          <w:p w14:paraId="69DF1C4E" w14:textId="0479B845" w:rsidR="00B16010" w:rsidRPr="00CA400C" w:rsidRDefault="00B16010" w:rsidP="001A15E9">
            <w:pPr>
              <w:ind w:left="57"/>
            </w:pPr>
            <w:r w:rsidRPr="00CA400C">
              <w:t>Concordance study</w:t>
            </w:r>
          </w:p>
        </w:tc>
        <w:tc>
          <w:tcPr>
            <w:tcW w:w="932" w:type="pct"/>
          </w:tcPr>
          <w:p w14:paraId="2F4DDA84" w14:textId="5318165F" w:rsidR="00B16010" w:rsidRPr="00CA400C" w:rsidRDefault="00B16010" w:rsidP="001A15E9">
            <w:pPr>
              <w:ind w:left="57"/>
            </w:pPr>
            <w:r w:rsidRPr="00CA400C">
              <w:t>A comparative study of PD-L1 diagnostic assays in squamous cell carcinoma of the head and neck (SCCHN)</w:t>
            </w:r>
          </w:p>
        </w:tc>
        <w:tc>
          <w:tcPr>
            <w:tcW w:w="1203" w:type="pct"/>
          </w:tcPr>
          <w:p w14:paraId="58C4CF4C" w14:textId="57B95FE3" w:rsidR="00B16010" w:rsidRPr="00CA400C" w:rsidRDefault="00B16010" w:rsidP="001A15E9">
            <w:pPr>
              <w:ind w:left="57"/>
            </w:pPr>
            <w:r w:rsidRPr="00CA400C">
              <w:t>Tumour biopsy samples from stage I–IV SCCHN pts, obtained from a commercial source and including HPV positive and HPV negative, were assessed using 3 PD-L1 diagnostic assays.</w:t>
            </w:r>
          </w:p>
        </w:tc>
        <w:tc>
          <w:tcPr>
            <w:tcW w:w="1312" w:type="pct"/>
          </w:tcPr>
          <w:p w14:paraId="11516C2E" w14:textId="088B6285" w:rsidR="00B16010" w:rsidRPr="00CA400C" w:rsidRDefault="00B16010" w:rsidP="001A15E9">
            <w:pPr>
              <w:ind w:left="57"/>
            </w:pPr>
            <w:r w:rsidRPr="00CA400C">
              <w:t xml:space="preserve">Link to abstract </w:t>
            </w:r>
            <w:hyperlink r:id="rId15" w:history="1">
              <w:r w:rsidRPr="00CA400C">
                <w:rPr>
                  <w:rStyle w:val="Hyperlink"/>
                </w:rPr>
                <w:t>here</w:t>
              </w:r>
            </w:hyperlink>
            <w:r w:rsidR="00C23237" w:rsidRPr="00CA400C">
              <w:t>.</w:t>
            </w:r>
          </w:p>
        </w:tc>
        <w:tc>
          <w:tcPr>
            <w:tcW w:w="472" w:type="pct"/>
          </w:tcPr>
          <w:p w14:paraId="7BAFE4D1" w14:textId="425BD811" w:rsidR="00B16010" w:rsidRPr="00CA400C" w:rsidRDefault="00B16010" w:rsidP="001A15E9">
            <w:pPr>
              <w:ind w:left="57"/>
              <w:rPr>
                <w:szCs w:val="20"/>
              </w:rPr>
            </w:pPr>
            <w:r w:rsidRPr="00CA400C">
              <w:rPr>
                <w:szCs w:val="20"/>
              </w:rPr>
              <w:t>2016</w:t>
            </w:r>
          </w:p>
        </w:tc>
      </w:tr>
      <w:tr w:rsidR="00DF6105" w:rsidRPr="00CA400C" w14:paraId="39C96A3E" w14:textId="77777777" w:rsidTr="00DF6105">
        <w:trPr>
          <w:cantSplit/>
        </w:trPr>
        <w:tc>
          <w:tcPr>
            <w:tcW w:w="142" w:type="pct"/>
          </w:tcPr>
          <w:p w14:paraId="762451B2" w14:textId="59EADD0B" w:rsidR="007A71A4" w:rsidRPr="00CA400C" w:rsidRDefault="007A71A4" w:rsidP="007A71A4">
            <w:pPr>
              <w:ind w:left="29"/>
              <w:rPr>
                <w:szCs w:val="20"/>
              </w:rPr>
            </w:pPr>
            <w:r w:rsidRPr="00CA400C">
              <w:rPr>
                <w:szCs w:val="20"/>
              </w:rPr>
              <w:lastRenderedPageBreak/>
              <w:t>4.</w:t>
            </w:r>
          </w:p>
        </w:tc>
        <w:tc>
          <w:tcPr>
            <w:tcW w:w="937" w:type="pct"/>
          </w:tcPr>
          <w:p w14:paraId="6A5F17EB" w14:textId="222ED281" w:rsidR="007A71A4" w:rsidRPr="00CA400C" w:rsidRDefault="007A71A4" w:rsidP="007A71A4">
            <w:pPr>
              <w:ind w:left="57"/>
            </w:pPr>
            <w:r w:rsidRPr="00CA400C">
              <w:t xml:space="preserve">Comparison of the analytical performance and clinical comparability of four PD-L1 </w:t>
            </w:r>
            <w:proofErr w:type="spellStart"/>
            <w:r w:rsidRPr="00CA400C">
              <w:t>immunohistochemical</w:t>
            </w:r>
            <w:proofErr w:type="spellEnd"/>
            <w:r w:rsidRPr="00CA400C">
              <w:t xml:space="preserve"> assays available for use with different PD-1/PD-L1 immune checkpoint inhibitors. </w:t>
            </w:r>
          </w:p>
        </w:tc>
        <w:tc>
          <w:tcPr>
            <w:tcW w:w="932" w:type="pct"/>
          </w:tcPr>
          <w:p w14:paraId="5D2585AF" w14:textId="794E5ABA" w:rsidR="007A71A4" w:rsidRPr="00CA400C" w:rsidRDefault="007A71A4" w:rsidP="007A71A4">
            <w:pPr>
              <w:ind w:left="57"/>
            </w:pPr>
            <w:r w:rsidRPr="00CA400C">
              <w:t>BLUEPRINT Study</w:t>
            </w:r>
          </w:p>
        </w:tc>
        <w:tc>
          <w:tcPr>
            <w:tcW w:w="1203" w:type="pct"/>
          </w:tcPr>
          <w:p w14:paraId="03867952" w14:textId="4DFB96CB" w:rsidR="007A71A4" w:rsidRPr="00CA400C" w:rsidRDefault="007A71A4" w:rsidP="007A71A4">
            <w:pPr>
              <w:ind w:left="57"/>
            </w:pPr>
            <w:r w:rsidRPr="00CA400C">
              <w:t xml:space="preserve">The BLUEPRINT Programmed Death Ligand 1 (PD-L1) Immunohistochemistry (IHC) Assay Comparison Project is an industrial-academic collaborative partnership to provide information on the analytical and clinical comparability of four PD-L1 IHC assays (antibody clones 22C3, 28-8, SP142, and SP263), as used in the NSCLC clinical trials of the immune checkpoint inhibitors </w:t>
            </w:r>
            <w:proofErr w:type="spellStart"/>
            <w:r w:rsidRPr="00CA400C">
              <w:t>pembrolizumab</w:t>
            </w:r>
            <w:proofErr w:type="spellEnd"/>
            <w:r w:rsidRPr="00CA400C">
              <w:t xml:space="preserve">, </w:t>
            </w:r>
            <w:proofErr w:type="spellStart"/>
            <w:r w:rsidRPr="00CA400C">
              <w:t>nivolumab</w:t>
            </w:r>
            <w:proofErr w:type="spellEnd"/>
            <w:r w:rsidRPr="00CA400C">
              <w:t xml:space="preserve">, </w:t>
            </w:r>
            <w:proofErr w:type="spellStart"/>
            <w:r w:rsidRPr="00CA400C">
              <w:t>atezolizumab</w:t>
            </w:r>
            <w:proofErr w:type="spellEnd"/>
            <w:r w:rsidRPr="00CA400C">
              <w:t xml:space="preserve"> and </w:t>
            </w:r>
            <w:proofErr w:type="spellStart"/>
            <w:r w:rsidRPr="00CA400C">
              <w:t>durvalumab</w:t>
            </w:r>
            <w:proofErr w:type="spellEnd"/>
            <w:r w:rsidRPr="00CA400C">
              <w:t xml:space="preserve"> .</w:t>
            </w:r>
            <w:r w:rsidRPr="00CA400C">
              <w:rPr>
                <w:b/>
                <w:szCs w:val="20"/>
              </w:rPr>
              <w:t xml:space="preserve"> </w:t>
            </w:r>
          </w:p>
        </w:tc>
        <w:tc>
          <w:tcPr>
            <w:tcW w:w="1312" w:type="pct"/>
          </w:tcPr>
          <w:p w14:paraId="6FBD6ABF" w14:textId="77777777" w:rsidR="00DF6105" w:rsidRPr="00CA400C" w:rsidRDefault="00DF6105" w:rsidP="00DF6105">
            <w:pPr>
              <w:ind w:left="135"/>
            </w:pPr>
            <w:r w:rsidRPr="00CA400C">
              <w:t xml:space="preserve">Hirsch F et al. PD-L1 Immunohistochemistry Assays for Lung Cancer: Results from Phase 1 of the Blueprint PD-L1 IHC Assay Comparison Project. </w:t>
            </w:r>
            <w:r w:rsidRPr="00CA400C">
              <w:rPr>
                <w:i/>
              </w:rPr>
              <w:t xml:space="preserve">J. Thoracic </w:t>
            </w:r>
            <w:proofErr w:type="spellStart"/>
            <w:r w:rsidRPr="00CA400C">
              <w:rPr>
                <w:i/>
              </w:rPr>
              <w:t>Oncol</w:t>
            </w:r>
            <w:proofErr w:type="spellEnd"/>
            <w:r w:rsidRPr="00CA400C">
              <w:rPr>
                <w:i/>
              </w:rPr>
              <w:t>.</w:t>
            </w:r>
            <w:r w:rsidRPr="00CA400C">
              <w:t xml:space="preserve"> 2017 12(2): p.208–222.</w:t>
            </w:r>
          </w:p>
          <w:p w14:paraId="47D4C216" w14:textId="1FD1EAAA" w:rsidR="007A71A4" w:rsidRPr="00CA400C" w:rsidRDefault="007A71A4" w:rsidP="00DF6105">
            <w:pPr>
              <w:ind w:left="135"/>
            </w:pPr>
            <w:r w:rsidRPr="00CA400C">
              <w:t xml:space="preserve">Link to publication </w:t>
            </w:r>
            <w:hyperlink r:id="rId16" w:history="1">
              <w:r w:rsidRPr="00CA400C">
                <w:rPr>
                  <w:rStyle w:val="Hyperlink"/>
                </w:rPr>
                <w:t>here</w:t>
              </w:r>
            </w:hyperlink>
          </w:p>
          <w:p w14:paraId="28E882C8" w14:textId="77777777" w:rsidR="007A71A4" w:rsidRPr="00CA400C" w:rsidRDefault="007A71A4" w:rsidP="00DF6105">
            <w:pPr>
              <w:ind w:left="135"/>
            </w:pPr>
            <w:r w:rsidRPr="00CA400C">
              <w:t>Conference abstracts/presentations:</w:t>
            </w:r>
          </w:p>
          <w:p w14:paraId="057675C6" w14:textId="1F034259" w:rsidR="00DF6105" w:rsidRPr="00CA400C" w:rsidRDefault="00DF6105" w:rsidP="00DF6105">
            <w:pPr>
              <w:ind w:left="135"/>
              <w:rPr>
                <w:szCs w:val="20"/>
              </w:rPr>
            </w:pPr>
            <w:r w:rsidRPr="00CA400C">
              <w:rPr>
                <w:szCs w:val="20"/>
              </w:rPr>
              <w:t xml:space="preserve">Fred R. Hirsch (chair), Reena Philip, Steven D. </w:t>
            </w:r>
            <w:proofErr w:type="spellStart"/>
            <w:r w:rsidRPr="00CA400C">
              <w:rPr>
                <w:szCs w:val="20"/>
              </w:rPr>
              <w:t>Averbuch</w:t>
            </w:r>
            <w:proofErr w:type="spellEnd"/>
            <w:r w:rsidRPr="00CA400C">
              <w:rPr>
                <w:szCs w:val="20"/>
              </w:rPr>
              <w:t xml:space="preserve">, Kenneth Emancipator, Abigail </w:t>
            </w:r>
            <w:proofErr w:type="spellStart"/>
            <w:r w:rsidRPr="00CA400C">
              <w:rPr>
                <w:szCs w:val="20"/>
              </w:rPr>
              <w:t>McElhinny</w:t>
            </w:r>
            <w:proofErr w:type="spellEnd"/>
            <w:r w:rsidRPr="00CA400C">
              <w:rPr>
                <w:szCs w:val="20"/>
              </w:rPr>
              <w:t xml:space="preserve">, John Longshore, Dave </w:t>
            </w:r>
            <w:proofErr w:type="spellStart"/>
            <w:r w:rsidRPr="00CA400C">
              <w:rPr>
                <w:szCs w:val="20"/>
              </w:rPr>
              <w:t>Stanforth</w:t>
            </w:r>
            <w:proofErr w:type="spellEnd"/>
            <w:r w:rsidRPr="00CA400C">
              <w:rPr>
                <w:szCs w:val="20"/>
              </w:rPr>
              <w:t>, Jill Walker, and J. Andy Williams.  The Blueprint Project: Harmonizing Companion Diagnostics Across a Class of Targeted Therapies. American Association for Cancer Research Annual Meeting 2016 April 19.</w:t>
            </w:r>
          </w:p>
          <w:p w14:paraId="7AEDF4D1" w14:textId="7DCFCC09" w:rsidR="007A71A4" w:rsidRPr="00CA400C" w:rsidRDefault="00DF6105" w:rsidP="00DF6105">
            <w:pPr>
              <w:ind w:left="135"/>
            </w:pPr>
            <w:r w:rsidRPr="00CA400C">
              <w:rPr>
                <w:szCs w:val="20"/>
              </w:rPr>
              <w:t xml:space="preserve">Link to presentation </w:t>
            </w:r>
            <w:hyperlink r:id="rId17" w:anchor=".V4MxGfl9670" w:history="1">
              <w:r w:rsidRPr="00CA400C">
                <w:rPr>
                  <w:rStyle w:val="Hyperlink"/>
                  <w:szCs w:val="20"/>
                </w:rPr>
                <w:t>here</w:t>
              </w:r>
            </w:hyperlink>
            <w:r w:rsidRPr="00CA400C">
              <w:rPr>
                <w:szCs w:val="20"/>
              </w:rPr>
              <w:t xml:space="preserve"> </w:t>
            </w:r>
          </w:p>
          <w:p w14:paraId="15D5DEAE" w14:textId="31B9CDCF" w:rsidR="007A71A4" w:rsidRPr="00CA400C" w:rsidRDefault="007A71A4" w:rsidP="007A71A4">
            <w:pPr>
              <w:rPr>
                <w:szCs w:val="20"/>
              </w:rPr>
            </w:pPr>
          </w:p>
          <w:p w14:paraId="58E90419" w14:textId="26E17009" w:rsidR="007A71A4" w:rsidRPr="00CA400C" w:rsidRDefault="007A71A4" w:rsidP="007A71A4">
            <w:pPr>
              <w:ind w:left="57"/>
            </w:pPr>
          </w:p>
        </w:tc>
        <w:tc>
          <w:tcPr>
            <w:tcW w:w="472" w:type="pct"/>
          </w:tcPr>
          <w:p w14:paraId="7E4F0D98" w14:textId="651671BF" w:rsidR="007A71A4" w:rsidRPr="00CA400C" w:rsidRDefault="007A71A4" w:rsidP="007A71A4">
            <w:pPr>
              <w:ind w:left="57"/>
              <w:rPr>
                <w:szCs w:val="20"/>
              </w:rPr>
            </w:pPr>
            <w:r w:rsidRPr="00CA400C">
              <w:t>April 2016</w:t>
            </w:r>
          </w:p>
        </w:tc>
      </w:tr>
    </w:tbl>
    <w:p w14:paraId="17FC9D88" w14:textId="77777777" w:rsidR="00CB734B" w:rsidRPr="00CA400C" w:rsidRDefault="00CB734B" w:rsidP="00CB734B">
      <w:pPr>
        <w:pStyle w:val="Heading2"/>
        <w:numPr>
          <w:ilvl w:val="0"/>
          <w:numId w:val="0"/>
        </w:numPr>
        <w:ind w:left="360" w:hanging="360"/>
      </w:pPr>
    </w:p>
    <w:p w14:paraId="5A1A39DD" w14:textId="77777777" w:rsidR="00CB734B" w:rsidRPr="00CA400C" w:rsidRDefault="00CB734B">
      <w:pPr>
        <w:spacing w:before="0" w:after="200" w:line="276" w:lineRule="auto"/>
        <w:ind w:left="0"/>
        <w:rPr>
          <w:b/>
          <w:szCs w:val="20"/>
        </w:rPr>
      </w:pPr>
      <w:r w:rsidRPr="00CA400C">
        <w:br w:type="page"/>
      </w:r>
    </w:p>
    <w:p w14:paraId="2A58DD06" w14:textId="51342FCA" w:rsidR="002A431B" w:rsidRPr="00CA400C" w:rsidRDefault="002A431B" w:rsidP="002A431B">
      <w:pPr>
        <w:pStyle w:val="Heading2"/>
      </w:pPr>
      <w:r w:rsidRPr="00CA400C">
        <w:lastRenderedPageBreak/>
        <w:t>Identify yet to be published research that may have results available in the near future that could be relevant in the consideration of your application by MSAC (limiting these to the English language only).</w:t>
      </w:r>
      <w:r w:rsidRPr="00CA400C">
        <w:rPr>
          <w:i/>
        </w:rPr>
        <w:t xml:space="preserve"> Please do not attach full text </w:t>
      </w:r>
      <w:proofErr w:type="gramStart"/>
      <w:r w:rsidRPr="00CA400C">
        <w:rPr>
          <w:i/>
        </w:rPr>
        <w:t>articles,</w:t>
      </w:r>
      <w:proofErr w:type="gramEnd"/>
      <w:r w:rsidRPr="00CA400C">
        <w:rPr>
          <w:i/>
        </w:rPr>
        <w:t xml:space="preserve"> this is just intended to be a summary.</w:t>
      </w:r>
    </w:p>
    <w:tbl>
      <w:tblPr>
        <w:tblStyle w:val="TableGrid"/>
        <w:tblW w:w="5000" w:type="pct"/>
        <w:tblLook w:val="04A0" w:firstRow="1" w:lastRow="0" w:firstColumn="1" w:lastColumn="0" w:noHBand="0" w:noVBand="1"/>
        <w:tblCaption w:val="Summary of Evidence - Yet to be Published"/>
      </w:tblPr>
      <w:tblGrid>
        <w:gridCol w:w="397"/>
        <w:gridCol w:w="1721"/>
        <w:gridCol w:w="3144"/>
        <w:gridCol w:w="4700"/>
        <w:gridCol w:w="3359"/>
        <w:gridCol w:w="853"/>
      </w:tblGrid>
      <w:tr w:rsidR="002A431B" w:rsidRPr="00CA400C" w14:paraId="5FADA3A5" w14:textId="77777777" w:rsidTr="006354EE">
        <w:trPr>
          <w:cantSplit/>
          <w:tblHeader/>
        </w:trPr>
        <w:tc>
          <w:tcPr>
            <w:tcW w:w="0" w:type="auto"/>
          </w:tcPr>
          <w:p w14:paraId="2E23FE4E" w14:textId="77777777" w:rsidR="002A431B" w:rsidRPr="00CA400C" w:rsidRDefault="002A431B" w:rsidP="001A15E9">
            <w:pPr>
              <w:pStyle w:val="TableHEADER"/>
              <w:ind w:left="29"/>
            </w:pPr>
          </w:p>
        </w:tc>
        <w:tc>
          <w:tcPr>
            <w:tcW w:w="0" w:type="auto"/>
          </w:tcPr>
          <w:p w14:paraId="35DFC8FC" w14:textId="77777777" w:rsidR="002A431B" w:rsidRPr="00CA400C" w:rsidRDefault="002A431B" w:rsidP="001A15E9">
            <w:pPr>
              <w:pStyle w:val="TableHEADER"/>
              <w:ind w:left="57"/>
            </w:pPr>
            <w:r w:rsidRPr="00CA400C">
              <w:t>Type of study design</w:t>
            </w:r>
          </w:p>
        </w:tc>
        <w:tc>
          <w:tcPr>
            <w:tcW w:w="0" w:type="auto"/>
          </w:tcPr>
          <w:p w14:paraId="652E2C6F" w14:textId="77777777" w:rsidR="002A431B" w:rsidRPr="00CA400C" w:rsidRDefault="002A431B" w:rsidP="001A15E9">
            <w:pPr>
              <w:pStyle w:val="TableHEADER"/>
              <w:ind w:left="57"/>
            </w:pPr>
            <w:r w:rsidRPr="00CA400C">
              <w:t>Title of research (including any trial identifier if relevant)</w:t>
            </w:r>
          </w:p>
        </w:tc>
        <w:tc>
          <w:tcPr>
            <w:tcW w:w="0" w:type="auto"/>
          </w:tcPr>
          <w:p w14:paraId="376B83B4" w14:textId="77777777" w:rsidR="002A431B" w:rsidRPr="00CA400C" w:rsidRDefault="002A431B" w:rsidP="001A15E9">
            <w:pPr>
              <w:pStyle w:val="TableHEADER"/>
              <w:ind w:left="57"/>
            </w:pPr>
            <w:r w:rsidRPr="00CA400C">
              <w:t>Short description of research (max 50 words)</w:t>
            </w:r>
          </w:p>
        </w:tc>
        <w:tc>
          <w:tcPr>
            <w:tcW w:w="0" w:type="auto"/>
          </w:tcPr>
          <w:p w14:paraId="32A86104" w14:textId="77777777" w:rsidR="002A431B" w:rsidRPr="00CA400C" w:rsidRDefault="002A431B" w:rsidP="001A15E9">
            <w:pPr>
              <w:pStyle w:val="TableHEADER"/>
              <w:ind w:left="57"/>
            </w:pPr>
            <w:r w:rsidRPr="00CA400C">
              <w:t>Website link to research (if available)</w:t>
            </w:r>
          </w:p>
        </w:tc>
        <w:tc>
          <w:tcPr>
            <w:tcW w:w="0" w:type="auto"/>
          </w:tcPr>
          <w:p w14:paraId="009E9B04" w14:textId="77777777" w:rsidR="002A431B" w:rsidRPr="00CA400C" w:rsidRDefault="002A431B" w:rsidP="001A15E9">
            <w:pPr>
              <w:pStyle w:val="TableHEADER"/>
              <w:ind w:left="57"/>
            </w:pPr>
            <w:r w:rsidRPr="00CA400C">
              <w:t>Date</w:t>
            </w:r>
          </w:p>
        </w:tc>
      </w:tr>
      <w:tr w:rsidR="002A431B" w:rsidRPr="00CA400C" w14:paraId="44AC57F3" w14:textId="77777777" w:rsidTr="006354EE">
        <w:trPr>
          <w:cantSplit/>
        </w:trPr>
        <w:tc>
          <w:tcPr>
            <w:tcW w:w="0" w:type="auto"/>
            <w:gridSpan w:val="6"/>
          </w:tcPr>
          <w:p w14:paraId="5A31D45A" w14:textId="16F740D2" w:rsidR="002A431B" w:rsidRPr="00CA400C" w:rsidRDefault="006354EE" w:rsidP="001A15E9">
            <w:pPr>
              <w:ind w:left="57"/>
              <w:rPr>
                <w:i/>
              </w:rPr>
            </w:pPr>
            <w:r w:rsidRPr="00CA400C">
              <w:rPr>
                <w:i/>
              </w:rPr>
              <w:t>Early-phase studies</w:t>
            </w:r>
          </w:p>
        </w:tc>
      </w:tr>
      <w:tr w:rsidR="006354EE" w:rsidRPr="00CA400C" w14:paraId="74C708EB" w14:textId="77777777" w:rsidTr="006354EE">
        <w:trPr>
          <w:cantSplit/>
        </w:trPr>
        <w:tc>
          <w:tcPr>
            <w:tcW w:w="0" w:type="auto"/>
          </w:tcPr>
          <w:p w14:paraId="5D3E9C70" w14:textId="6304E67F" w:rsidR="006354EE" w:rsidRPr="00CA400C" w:rsidRDefault="006354EE" w:rsidP="007A71A4">
            <w:pPr>
              <w:ind w:left="29"/>
              <w:rPr>
                <w:szCs w:val="20"/>
              </w:rPr>
            </w:pPr>
            <w:r w:rsidRPr="00CA400C">
              <w:rPr>
                <w:szCs w:val="20"/>
              </w:rPr>
              <w:t>1.</w:t>
            </w:r>
          </w:p>
        </w:tc>
        <w:tc>
          <w:tcPr>
            <w:tcW w:w="607" w:type="pct"/>
          </w:tcPr>
          <w:p w14:paraId="460465E7" w14:textId="77777777" w:rsidR="006354EE" w:rsidRPr="00CA400C" w:rsidRDefault="006354EE" w:rsidP="007A71A4">
            <w:pPr>
              <w:ind w:left="57"/>
              <w:rPr>
                <w:b/>
                <w:szCs w:val="20"/>
              </w:rPr>
            </w:pPr>
            <w:r w:rsidRPr="00CA400C">
              <w:t>Non</w:t>
            </w:r>
            <w:r w:rsidRPr="00CA400C">
              <w:noBreakHyphen/>
              <w:t>randomised trial</w:t>
            </w:r>
          </w:p>
        </w:tc>
        <w:tc>
          <w:tcPr>
            <w:tcW w:w="1109" w:type="pct"/>
          </w:tcPr>
          <w:p w14:paraId="31C63A5E" w14:textId="77777777" w:rsidR="006354EE" w:rsidRPr="00CA400C" w:rsidRDefault="006354EE" w:rsidP="007A71A4">
            <w:pPr>
              <w:ind w:left="57"/>
            </w:pPr>
            <w:r w:rsidRPr="00CA400C">
              <w:t>A Phase I Study to Evaluate the Safety, Tolerability and Efficacy of MEDI4736 (</w:t>
            </w:r>
            <w:proofErr w:type="spellStart"/>
            <w:r w:rsidRPr="00CA400C">
              <w:t>Durvalumab</w:t>
            </w:r>
            <w:proofErr w:type="spellEnd"/>
            <w:r w:rsidRPr="00CA400C">
              <w:t xml:space="preserve">) With </w:t>
            </w:r>
            <w:proofErr w:type="spellStart"/>
            <w:r w:rsidRPr="00CA400C">
              <w:t>Tremelimumab</w:t>
            </w:r>
            <w:proofErr w:type="spellEnd"/>
            <w:r w:rsidRPr="00CA400C">
              <w:t xml:space="preserve"> in Head and Neck Cancer</w:t>
            </w:r>
          </w:p>
          <w:p w14:paraId="1CB9EDC2" w14:textId="77777777" w:rsidR="006354EE" w:rsidRPr="00CA400C" w:rsidRDefault="006354EE" w:rsidP="007A71A4">
            <w:pPr>
              <w:ind w:left="57"/>
            </w:pPr>
            <w:r w:rsidRPr="00CA400C">
              <w:t>(Study 11)</w:t>
            </w:r>
          </w:p>
          <w:p w14:paraId="23E2FB81" w14:textId="77777777" w:rsidR="006354EE" w:rsidRPr="00CA400C" w:rsidRDefault="006354EE" w:rsidP="007A71A4">
            <w:pPr>
              <w:ind w:left="57"/>
              <w:rPr>
                <w:szCs w:val="20"/>
              </w:rPr>
            </w:pPr>
            <w:r w:rsidRPr="00CA400C">
              <w:t>Clinicaltrials.gov identifier: NCT02262741</w:t>
            </w:r>
          </w:p>
        </w:tc>
        <w:tc>
          <w:tcPr>
            <w:tcW w:w="1658" w:type="pct"/>
          </w:tcPr>
          <w:p w14:paraId="55D7370A" w14:textId="77777777" w:rsidR="006354EE" w:rsidRPr="00CA400C" w:rsidRDefault="006354EE" w:rsidP="007A71A4">
            <w:pPr>
              <w:ind w:left="57"/>
            </w:pPr>
            <w:r w:rsidRPr="00CA400C">
              <w:t>A multicentre, open</w:t>
            </w:r>
            <w:r w:rsidRPr="00CA400C">
              <w:noBreakHyphen/>
              <w:t>label, dose</w:t>
            </w:r>
            <w:r w:rsidRPr="00CA400C">
              <w:noBreakHyphen/>
              <w:t>exploration and dose</w:t>
            </w:r>
            <w:r w:rsidRPr="00CA400C">
              <w:noBreakHyphen/>
              <w:t xml:space="preserve">expansion study to evaluate the safety, tolerability, antitumor activity, pharmacokinetics, pharmacodynamics, and immunogenicity of MEDI4736 in combination with </w:t>
            </w:r>
            <w:proofErr w:type="spellStart"/>
            <w:r w:rsidRPr="00CA400C">
              <w:t>tremelimumab</w:t>
            </w:r>
            <w:proofErr w:type="spellEnd"/>
            <w:r w:rsidRPr="00CA400C">
              <w:t xml:space="preserve"> in subjects with recurrent/metastatic squamous cell carcinoma of the head and neck. A total of 139 patients are expected to be enrolled in the study.</w:t>
            </w:r>
          </w:p>
          <w:p w14:paraId="3C6756CC" w14:textId="77777777" w:rsidR="006354EE" w:rsidRPr="00CA400C" w:rsidRDefault="006354EE" w:rsidP="007A71A4">
            <w:pPr>
              <w:ind w:left="57"/>
              <w:rPr>
                <w:b/>
                <w:szCs w:val="20"/>
              </w:rPr>
            </w:pPr>
          </w:p>
        </w:tc>
        <w:tc>
          <w:tcPr>
            <w:tcW w:w="0" w:type="auto"/>
          </w:tcPr>
          <w:p w14:paraId="6379939E" w14:textId="77777777" w:rsidR="006354EE" w:rsidRPr="00CA400C" w:rsidRDefault="006354EE" w:rsidP="007A71A4">
            <w:pPr>
              <w:ind w:left="57"/>
            </w:pPr>
            <w:r w:rsidRPr="00CA400C">
              <w:t xml:space="preserve">Siu LL et al. </w:t>
            </w:r>
            <w:r w:rsidRPr="00CA400C">
              <w:rPr>
                <w:rFonts w:ascii="Noto Sans" w:hAnsi="Noto Sans"/>
                <w:lang w:val="en"/>
              </w:rPr>
              <w:t xml:space="preserve">J </w:t>
            </w:r>
            <w:proofErr w:type="spellStart"/>
            <w:r w:rsidRPr="00CA400C">
              <w:rPr>
                <w:rFonts w:ascii="Noto Sans" w:hAnsi="Noto Sans"/>
                <w:lang w:val="en"/>
              </w:rPr>
              <w:t>Clin</w:t>
            </w:r>
            <w:proofErr w:type="spellEnd"/>
            <w:r w:rsidRPr="00CA400C">
              <w:rPr>
                <w:rFonts w:ascii="Noto Sans" w:hAnsi="Noto Sans"/>
                <w:lang w:val="en"/>
              </w:rPr>
              <w:t xml:space="preserve"> </w:t>
            </w:r>
            <w:proofErr w:type="spellStart"/>
            <w:r w:rsidRPr="00CA400C">
              <w:rPr>
                <w:rFonts w:ascii="Noto Sans" w:hAnsi="Noto Sans"/>
                <w:lang w:val="en"/>
              </w:rPr>
              <w:t>Oncol</w:t>
            </w:r>
            <w:proofErr w:type="spellEnd"/>
            <w:r w:rsidRPr="00CA400C">
              <w:rPr>
                <w:rFonts w:ascii="Noto Sans" w:hAnsi="Noto Sans"/>
                <w:lang w:val="en"/>
              </w:rPr>
              <w:t xml:space="preserve"> 2015; 33(15 </w:t>
            </w:r>
            <w:proofErr w:type="spellStart"/>
            <w:r w:rsidRPr="00CA400C">
              <w:rPr>
                <w:rFonts w:ascii="Noto Sans" w:hAnsi="Noto Sans"/>
                <w:lang w:val="en"/>
              </w:rPr>
              <w:t>Suppl</w:t>
            </w:r>
            <w:proofErr w:type="spellEnd"/>
            <w:r w:rsidRPr="00CA400C">
              <w:rPr>
                <w:rFonts w:ascii="Noto Sans" w:hAnsi="Noto Sans"/>
                <w:lang w:val="en"/>
              </w:rPr>
              <w:t>)</w:t>
            </w:r>
            <w:proofErr w:type="gramStart"/>
            <w:r w:rsidRPr="00CA400C">
              <w:rPr>
                <w:rFonts w:ascii="Noto Sans" w:hAnsi="Noto Sans"/>
                <w:lang w:val="en"/>
              </w:rPr>
              <w:t>:Abstract</w:t>
            </w:r>
            <w:proofErr w:type="gramEnd"/>
            <w:r w:rsidRPr="00CA400C">
              <w:rPr>
                <w:rFonts w:ascii="Noto Sans" w:hAnsi="Noto Sans"/>
                <w:lang w:val="en"/>
              </w:rPr>
              <w:t xml:space="preserve"> TPS3090.</w:t>
            </w:r>
          </w:p>
          <w:p w14:paraId="4A21077D" w14:textId="77777777" w:rsidR="006354EE" w:rsidRPr="00CA400C" w:rsidRDefault="006354EE" w:rsidP="007A71A4">
            <w:pPr>
              <w:ind w:left="57"/>
              <w:rPr>
                <w:b/>
                <w:szCs w:val="20"/>
              </w:rPr>
            </w:pPr>
            <w:r w:rsidRPr="00CA400C">
              <w:t xml:space="preserve">Link to abstract </w:t>
            </w:r>
            <w:hyperlink r:id="rId18" w:history="1">
              <w:r w:rsidRPr="00CA400C">
                <w:rPr>
                  <w:rStyle w:val="Hyperlink"/>
                </w:rPr>
                <w:t>here</w:t>
              </w:r>
            </w:hyperlink>
          </w:p>
        </w:tc>
        <w:tc>
          <w:tcPr>
            <w:tcW w:w="0" w:type="auto"/>
          </w:tcPr>
          <w:p w14:paraId="7029203F" w14:textId="77777777" w:rsidR="006354EE" w:rsidRPr="00CA400C" w:rsidRDefault="006354EE" w:rsidP="007A71A4">
            <w:pPr>
              <w:ind w:left="57"/>
              <w:rPr>
                <w:b/>
                <w:szCs w:val="20"/>
              </w:rPr>
            </w:pPr>
            <w:r w:rsidRPr="00CA400C">
              <w:t>Q4 2017</w:t>
            </w:r>
          </w:p>
        </w:tc>
      </w:tr>
      <w:tr w:rsidR="006354EE" w:rsidRPr="00CA400C" w14:paraId="35056EF2" w14:textId="77777777" w:rsidTr="007A71A4">
        <w:trPr>
          <w:cantSplit/>
        </w:trPr>
        <w:tc>
          <w:tcPr>
            <w:tcW w:w="0" w:type="auto"/>
            <w:gridSpan w:val="6"/>
          </w:tcPr>
          <w:p w14:paraId="31CD88CA" w14:textId="6B567D2D" w:rsidR="006354EE" w:rsidRPr="00CA400C" w:rsidRDefault="006354EE" w:rsidP="001A15E9">
            <w:pPr>
              <w:ind w:left="57"/>
              <w:rPr>
                <w:szCs w:val="20"/>
              </w:rPr>
            </w:pPr>
            <w:r w:rsidRPr="00CA400C">
              <w:rPr>
                <w:i/>
              </w:rPr>
              <w:t>First</w:t>
            </w:r>
            <w:r w:rsidRPr="00CA400C">
              <w:rPr>
                <w:i/>
              </w:rPr>
              <w:noBreakHyphen/>
              <w:t>line treatment</w:t>
            </w:r>
          </w:p>
        </w:tc>
      </w:tr>
      <w:tr w:rsidR="002A431B" w:rsidRPr="00CA400C" w14:paraId="38772B06" w14:textId="77777777" w:rsidTr="006354EE">
        <w:trPr>
          <w:cantSplit/>
        </w:trPr>
        <w:tc>
          <w:tcPr>
            <w:tcW w:w="0" w:type="auto"/>
          </w:tcPr>
          <w:p w14:paraId="22B6DFF1" w14:textId="611DB78D" w:rsidR="002A431B" w:rsidRPr="00CA400C" w:rsidRDefault="00F1375C" w:rsidP="001A15E9">
            <w:pPr>
              <w:ind w:left="29"/>
              <w:rPr>
                <w:szCs w:val="20"/>
              </w:rPr>
            </w:pPr>
            <w:r w:rsidRPr="00CA400C">
              <w:rPr>
                <w:szCs w:val="20"/>
              </w:rPr>
              <w:t>2</w:t>
            </w:r>
            <w:r w:rsidR="002A431B" w:rsidRPr="00CA400C">
              <w:rPr>
                <w:szCs w:val="20"/>
              </w:rPr>
              <w:t>.</w:t>
            </w:r>
          </w:p>
        </w:tc>
        <w:tc>
          <w:tcPr>
            <w:tcW w:w="0" w:type="auto"/>
          </w:tcPr>
          <w:p w14:paraId="5CB9F225" w14:textId="77777777" w:rsidR="002A431B" w:rsidRPr="00CA400C" w:rsidRDefault="002A431B" w:rsidP="001A15E9">
            <w:pPr>
              <w:ind w:left="57"/>
            </w:pPr>
            <w:r w:rsidRPr="00CA400C">
              <w:rPr>
                <w:szCs w:val="20"/>
              </w:rPr>
              <w:t>Randomised controlled trial</w:t>
            </w:r>
          </w:p>
        </w:tc>
        <w:tc>
          <w:tcPr>
            <w:tcW w:w="0" w:type="auto"/>
          </w:tcPr>
          <w:p w14:paraId="648B6E39" w14:textId="77777777" w:rsidR="002A431B" w:rsidRPr="00CA400C" w:rsidRDefault="002A431B" w:rsidP="001A15E9">
            <w:pPr>
              <w:ind w:left="0"/>
            </w:pPr>
            <w:r w:rsidRPr="00CA400C">
              <w:t>A Phase III Randomized, Open</w:t>
            </w:r>
            <w:r w:rsidRPr="00CA400C">
              <w:noBreakHyphen/>
              <w:t>label, Multi</w:t>
            </w:r>
            <w:r w:rsidRPr="00CA400C">
              <w:noBreakHyphen/>
            </w:r>
            <w:proofErr w:type="spellStart"/>
            <w:r w:rsidRPr="00CA400C">
              <w:t>center</w:t>
            </w:r>
            <w:proofErr w:type="spellEnd"/>
            <w:r w:rsidRPr="00CA400C">
              <w:t xml:space="preserve">, Global Study of MEDI4736 Alone or in combination with </w:t>
            </w:r>
            <w:proofErr w:type="spellStart"/>
            <w:r w:rsidRPr="00CA400C">
              <w:t>Tremelimumab</w:t>
            </w:r>
            <w:proofErr w:type="spellEnd"/>
            <w:r w:rsidRPr="00CA400C">
              <w:t xml:space="preserve"> versus Standard of Care in the Treatment of First</w:t>
            </w:r>
            <w:r w:rsidRPr="00CA400C">
              <w:noBreakHyphen/>
              <w:t>line Recurrent or Metastatic Squamous Cell Head and Neck Cancer Patients</w:t>
            </w:r>
          </w:p>
          <w:p w14:paraId="492195DA" w14:textId="77777777" w:rsidR="002A431B" w:rsidRPr="00CA400C" w:rsidRDefault="002A431B" w:rsidP="001A15E9">
            <w:pPr>
              <w:ind w:left="0"/>
            </w:pPr>
            <w:r w:rsidRPr="00CA400C">
              <w:t>(KESTREL)</w:t>
            </w:r>
          </w:p>
          <w:p w14:paraId="5410796A" w14:textId="57ABFE4E" w:rsidR="00F1375C" w:rsidRPr="00CA400C" w:rsidRDefault="00F1375C" w:rsidP="001A15E9">
            <w:pPr>
              <w:ind w:left="0"/>
            </w:pPr>
            <w:r w:rsidRPr="00CA400C">
              <w:t>Clinicaltrials.gov identifier: NCT02551159</w:t>
            </w:r>
          </w:p>
        </w:tc>
        <w:tc>
          <w:tcPr>
            <w:tcW w:w="0" w:type="auto"/>
          </w:tcPr>
          <w:p w14:paraId="170EC940" w14:textId="77777777" w:rsidR="002A431B" w:rsidRPr="00CA400C" w:rsidRDefault="002A431B" w:rsidP="001A15E9">
            <w:pPr>
              <w:ind w:left="57"/>
            </w:pPr>
            <w:r w:rsidRPr="00CA400C">
              <w:rPr>
                <w:szCs w:val="20"/>
              </w:rPr>
              <w:t>A randomised, open</w:t>
            </w:r>
            <w:r w:rsidRPr="00CA400C">
              <w:rPr>
                <w:szCs w:val="20"/>
              </w:rPr>
              <w:noBreakHyphen/>
              <w:t>label, multi</w:t>
            </w:r>
            <w:r w:rsidRPr="00CA400C">
              <w:rPr>
                <w:szCs w:val="20"/>
              </w:rPr>
              <w:noBreakHyphen/>
              <w:t>centre, three</w:t>
            </w:r>
            <w:r w:rsidRPr="00CA400C">
              <w:rPr>
                <w:szCs w:val="20"/>
              </w:rPr>
              <w:noBreakHyphen/>
              <w:t xml:space="preserve">arm, global Phase III study to determine the efficacy and safety of </w:t>
            </w:r>
            <w:proofErr w:type="spellStart"/>
            <w:r w:rsidRPr="00CA400C">
              <w:rPr>
                <w:szCs w:val="20"/>
              </w:rPr>
              <w:t>durvalumab</w:t>
            </w:r>
            <w:proofErr w:type="spellEnd"/>
            <w:r w:rsidRPr="00CA400C">
              <w:rPr>
                <w:szCs w:val="20"/>
              </w:rPr>
              <w:t xml:space="preserve"> + </w:t>
            </w:r>
            <w:proofErr w:type="spellStart"/>
            <w:r w:rsidRPr="00CA400C">
              <w:rPr>
                <w:szCs w:val="20"/>
              </w:rPr>
              <w:t>tremelimumab</w:t>
            </w:r>
            <w:proofErr w:type="spellEnd"/>
            <w:r w:rsidRPr="00CA400C">
              <w:rPr>
                <w:szCs w:val="20"/>
              </w:rPr>
              <w:t xml:space="preserve"> combination or </w:t>
            </w:r>
            <w:proofErr w:type="spellStart"/>
            <w:r w:rsidRPr="00CA400C">
              <w:rPr>
                <w:szCs w:val="20"/>
              </w:rPr>
              <w:t>durvalumab</w:t>
            </w:r>
            <w:proofErr w:type="spellEnd"/>
            <w:r w:rsidRPr="00CA400C">
              <w:rPr>
                <w:szCs w:val="20"/>
              </w:rPr>
              <w:t xml:space="preserve"> monotherapy versus standard of care (EXTREME regimen) in the treatment of patients with SCCHN who have not received prior systemic chemotherapy for recurrent or metastatic disease. A total of 823 patients are expected to be enrolled in the study.</w:t>
            </w:r>
          </w:p>
        </w:tc>
        <w:tc>
          <w:tcPr>
            <w:tcW w:w="0" w:type="auto"/>
          </w:tcPr>
          <w:p w14:paraId="2D4B6BC0" w14:textId="77777777" w:rsidR="002A431B" w:rsidRPr="00CA400C" w:rsidRDefault="002A431B" w:rsidP="001A15E9">
            <w:pPr>
              <w:ind w:left="57"/>
            </w:pPr>
            <w:r w:rsidRPr="00CA400C">
              <w:rPr>
                <w:szCs w:val="20"/>
              </w:rPr>
              <w:t xml:space="preserve">Link to details </w:t>
            </w:r>
            <w:hyperlink r:id="rId19" w:history="1">
              <w:r w:rsidRPr="00CA400C">
                <w:rPr>
                  <w:rStyle w:val="Hyperlink"/>
                  <w:szCs w:val="20"/>
                </w:rPr>
                <w:t>here</w:t>
              </w:r>
            </w:hyperlink>
          </w:p>
        </w:tc>
        <w:tc>
          <w:tcPr>
            <w:tcW w:w="0" w:type="auto"/>
          </w:tcPr>
          <w:p w14:paraId="417173E0" w14:textId="77777777" w:rsidR="002A431B" w:rsidRPr="00CA400C" w:rsidRDefault="002A431B" w:rsidP="001A15E9">
            <w:pPr>
              <w:ind w:left="57"/>
            </w:pPr>
            <w:r w:rsidRPr="00CA400C">
              <w:rPr>
                <w:szCs w:val="20"/>
              </w:rPr>
              <w:t>Q4 2017</w:t>
            </w:r>
          </w:p>
        </w:tc>
      </w:tr>
      <w:tr w:rsidR="002A431B" w:rsidRPr="00CA400C" w14:paraId="5B1EDF8D" w14:textId="77777777" w:rsidTr="006354EE">
        <w:trPr>
          <w:cantSplit/>
        </w:trPr>
        <w:tc>
          <w:tcPr>
            <w:tcW w:w="0" w:type="auto"/>
            <w:gridSpan w:val="6"/>
          </w:tcPr>
          <w:p w14:paraId="4EBA4611" w14:textId="77777777" w:rsidR="002A431B" w:rsidRPr="00CA400C" w:rsidRDefault="002A431B" w:rsidP="001A15E9">
            <w:pPr>
              <w:ind w:left="57"/>
              <w:rPr>
                <w:i/>
              </w:rPr>
            </w:pPr>
            <w:r w:rsidRPr="00CA400C">
              <w:rPr>
                <w:i/>
              </w:rPr>
              <w:t>Second</w:t>
            </w:r>
            <w:r w:rsidRPr="00CA400C">
              <w:rPr>
                <w:i/>
              </w:rPr>
              <w:noBreakHyphen/>
              <w:t>line treatment</w:t>
            </w:r>
          </w:p>
        </w:tc>
      </w:tr>
      <w:tr w:rsidR="002A431B" w:rsidRPr="00CA400C" w14:paraId="2F586B35" w14:textId="77777777" w:rsidTr="006354EE">
        <w:trPr>
          <w:cantSplit/>
        </w:trPr>
        <w:tc>
          <w:tcPr>
            <w:tcW w:w="0" w:type="auto"/>
          </w:tcPr>
          <w:p w14:paraId="4A731B35" w14:textId="6F4DFFCC" w:rsidR="002A431B" w:rsidRPr="00CA400C" w:rsidRDefault="00F1375C" w:rsidP="001A15E9">
            <w:pPr>
              <w:ind w:left="29"/>
              <w:rPr>
                <w:szCs w:val="20"/>
              </w:rPr>
            </w:pPr>
            <w:r w:rsidRPr="00CA400C">
              <w:rPr>
                <w:szCs w:val="20"/>
              </w:rPr>
              <w:lastRenderedPageBreak/>
              <w:t>3</w:t>
            </w:r>
            <w:r w:rsidR="002A431B" w:rsidRPr="00CA400C">
              <w:rPr>
                <w:szCs w:val="20"/>
              </w:rPr>
              <w:t>.</w:t>
            </w:r>
          </w:p>
        </w:tc>
        <w:tc>
          <w:tcPr>
            <w:tcW w:w="0" w:type="auto"/>
          </w:tcPr>
          <w:p w14:paraId="3CE7AB2D" w14:textId="77777777" w:rsidR="002A431B" w:rsidRPr="00CA400C" w:rsidRDefault="002A431B" w:rsidP="001A15E9">
            <w:pPr>
              <w:ind w:left="57"/>
            </w:pPr>
            <w:r w:rsidRPr="00CA400C">
              <w:t>Non</w:t>
            </w:r>
            <w:r w:rsidRPr="00CA400C">
              <w:noBreakHyphen/>
              <w:t>randomised trial</w:t>
            </w:r>
          </w:p>
        </w:tc>
        <w:tc>
          <w:tcPr>
            <w:tcW w:w="0" w:type="auto"/>
          </w:tcPr>
          <w:p w14:paraId="1E9EBEE8" w14:textId="77777777" w:rsidR="002A431B" w:rsidRPr="00CA400C" w:rsidRDefault="002A431B" w:rsidP="001A15E9">
            <w:pPr>
              <w:ind w:left="57"/>
            </w:pPr>
            <w:r w:rsidRPr="00CA400C">
              <w:t>A Phase II, Multi</w:t>
            </w:r>
            <w:r w:rsidRPr="00CA400C">
              <w:noBreakHyphen/>
            </w:r>
            <w:proofErr w:type="spellStart"/>
            <w:r w:rsidRPr="00CA400C">
              <w:t>Center</w:t>
            </w:r>
            <w:proofErr w:type="spellEnd"/>
            <w:r w:rsidRPr="00CA400C">
              <w:t>, Single</w:t>
            </w:r>
            <w:r w:rsidRPr="00CA400C">
              <w:noBreakHyphen/>
              <w:t xml:space="preserve">Arm, Global Study of MEDI4736 Monotherapy in Patients With Recurrent or Metastatic Squamous Cell Carcinoma of the Head and Neck (SCCHN) </w:t>
            </w:r>
          </w:p>
          <w:p w14:paraId="4B0E90CA" w14:textId="77777777" w:rsidR="002A431B" w:rsidRPr="00CA400C" w:rsidRDefault="002A431B" w:rsidP="001A15E9">
            <w:pPr>
              <w:ind w:left="57"/>
            </w:pPr>
            <w:r w:rsidRPr="00CA400C">
              <w:t>(HAWK)</w:t>
            </w:r>
          </w:p>
          <w:p w14:paraId="08D56C4E" w14:textId="2ABD80E3" w:rsidR="002A431B" w:rsidRPr="00CA400C" w:rsidRDefault="00F1375C" w:rsidP="001A15E9">
            <w:pPr>
              <w:ind w:left="57"/>
            </w:pPr>
            <w:r w:rsidRPr="00CA400C">
              <w:rPr>
                <w:szCs w:val="20"/>
              </w:rPr>
              <w:t>Clinicaltrials.gov identifier: NCT02207530</w:t>
            </w:r>
          </w:p>
        </w:tc>
        <w:tc>
          <w:tcPr>
            <w:tcW w:w="0" w:type="auto"/>
          </w:tcPr>
          <w:p w14:paraId="7EA8946B" w14:textId="77777777" w:rsidR="002A431B" w:rsidRPr="00CA400C" w:rsidRDefault="002A431B" w:rsidP="001A15E9">
            <w:pPr>
              <w:ind w:left="57"/>
              <w:rPr>
                <w:szCs w:val="20"/>
              </w:rPr>
            </w:pPr>
            <w:r w:rsidRPr="00CA400C">
              <w:t>A Phase II, multi</w:t>
            </w:r>
            <w:r w:rsidRPr="00CA400C">
              <w:noBreakHyphen/>
              <w:t>centre, single</w:t>
            </w:r>
            <w:r w:rsidRPr="00CA400C">
              <w:noBreakHyphen/>
              <w:t xml:space="preserve">arm, global study to determine the efficacy and safety of </w:t>
            </w:r>
            <w:proofErr w:type="spellStart"/>
            <w:r w:rsidRPr="00CA400C">
              <w:t>durvalumab</w:t>
            </w:r>
            <w:proofErr w:type="spellEnd"/>
            <w:r w:rsidRPr="00CA400C">
              <w:t xml:space="preserve"> monotherapy in patients with recurrent or metastatic PD</w:t>
            </w:r>
            <w:r w:rsidRPr="00CA400C">
              <w:noBreakHyphen/>
              <w:t>L1</w:t>
            </w:r>
            <w:r w:rsidRPr="00CA400C">
              <w:noBreakHyphen/>
              <w:t>positive squamous cell carcinoma of the head and neck (SCCHN)</w:t>
            </w:r>
            <w:r w:rsidRPr="00CA400C">
              <w:rPr>
                <w:szCs w:val="20"/>
              </w:rPr>
              <w:t>. This study is active but not recruiting. A total of 112 patients are expected to enrol in the trial.</w:t>
            </w:r>
          </w:p>
          <w:p w14:paraId="2452D3E5" w14:textId="4D9D6877" w:rsidR="002A431B" w:rsidRPr="00CA400C" w:rsidRDefault="002A431B" w:rsidP="001A15E9">
            <w:pPr>
              <w:ind w:left="57"/>
            </w:pPr>
          </w:p>
        </w:tc>
        <w:tc>
          <w:tcPr>
            <w:tcW w:w="0" w:type="auto"/>
          </w:tcPr>
          <w:p w14:paraId="1897B7F5" w14:textId="77777777" w:rsidR="002A431B" w:rsidRPr="00CA400C" w:rsidRDefault="002A431B" w:rsidP="001A15E9">
            <w:pPr>
              <w:ind w:left="57"/>
            </w:pPr>
            <w:r w:rsidRPr="00CA400C">
              <w:t xml:space="preserve">Link to details </w:t>
            </w:r>
            <w:hyperlink r:id="rId20" w:history="1">
              <w:r w:rsidRPr="00CA400C">
                <w:rPr>
                  <w:rStyle w:val="Hyperlink"/>
                </w:rPr>
                <w:t>here</w:t>
              </w:r>
            </w:hyperlink>
          </w:p>
        </w:tc>
        <w:tc>
          <w:tcPr>
            <w:tcW w:w="0" w:type="auto"/>
          </w:tcPr>
          <w:p w14:paraId="0F78FB96" w14:textId="77777777" w:rsidR="002A431B" w:rsidRPr="00CA400C" w:rsidRDefault="002A431B" w:rsidP="001A15E9">
            <w:pPr>
              <w:ind w:left="57"/>
            </w:pPr>
            <w:r w:rsidRPr="00CA400C">
              <w:t>Q2 2017</w:t>
            </w:r>
          </w:p>
        </w:tc>
      </w:tr>
      <w:tr w:rsidR="002A431B" w:rsidRPr="00CA400C" w14:paraId="17591676" w14:textId="77777777" w:rsidTr="006354EE">
        <w:trPr>
          <w:cantSplit/>
        </w:trPr>
        <w:tc>
          <w:tcPr>
            <w:tcW w:w="0" w:type="auto"/>
          </w:tcPr>
          <w:p w14:paraId="6E158F31" w14:textId="49AE186D" w:rsidR="002A431B" w:rsidRPr="00CA400C" w:rsidRDefault="00F1375C" w:rsidP="001A15E9">
            <w:pPr>
              <w:ind w:left="29"/>
              <w:rPr>
                <w:szCs w:val="20"/>
              </w:rPr>
            </w:pPr>
            <w:r w:rsidRPr="00CA400C">
              <w:rPr>
                <w:szCs w:val="20"/>
              </w:rPr>
              <w:t>4</w:t>
            </w:r>
            <w:r w:rsidR="002A431B" w:rsidRPr="00CA400C">
              <w:rPr>
                <w:szCs w:val="20"/>
              </w:rPr>
              <w:t>.</w:t>
            </w:r>
          </w:p>
        </w:tc>
        <w:tc>
          <w:tcPr>
            <w:tcW w:w="0" w:type="auto"/>
          </w:tcPr>
          <w:p w14:paraId="4C233AD1" w14:textId="77777777" w:rsidR="002A431B" w:rsidRPr="00CA400C" w:rsidRDefault="002A431B" w:rsidP="001A15E9">
            <w:pPr>
              <w:ind w:left="29"/>
              <w:rPr>
                <w:b/>
                <w:szCs w:val="20"/>
              </w:rPr>
            </w:pPr>
            <w:r w:rsidRPr="00CA400C">
              <w:t>Randomised trial</w:t>
            </w:r>
          </w:p>
        </w:tc>
        <w:tc>
          <w:tcPr>
            <w:tcW w:w="0" w:type="auto"/>
          </w:tcPr>
          <w:p w14:paraId="7E94530A" w14:textId="77777777" w:rsidR="002A431B" w:rsidRPr="00CA400C" w:rsidRDefault="002A431B" w:rsidP="001A15E9">
            <w:pPr>
              <w:ind w:left="29"/>
            </w:pPr>
            <w:r w:rsidRPr="00CA400C">
              <w:t>A Phase II, Randomized, Open</w:t>
            </w:r>
            <w:r w:rsidRPr="00CA400C">
              <w:noBreakHyphen/>
              <w:t>Label, Multi</w:t>
            </w:r>
            <w:r w:rsidRPr="00CA400C">
              <w:noBreakHyphen/>
            </w:r>
            <w:proofErr w:type="spellStart"/>
            <w:r w:rsidRPr="00CA400C">
              <w:t>Center</w:t>
            </w:r>
            <w:proofErr w:type="spellEnd"/>
            <w:r w:rsidRPr="00CA400C">
              <w:t xml:space="preserve">, Global Study of MEDI4736 Monotherapy, </w:t>
            </w:r>
            <w:proofErr w:type="spellStart"/>
            <w:r w:rsidRPr="00CA400C">
              <w:t>Tremelimumab</w:t>
            </w:r>
            <w:proofErr w:type="spellEnd"/>
            <w:r w:rsidRPr="00CA400C">
              <w:t xml:space="preserve"> Monotherapy, and MEDI4736 in Combination With </w:t>
            </w:r>
            <w:proofErr w:type="spellStart"/>
            <w:r w:rsidRPr="00CA400C">
              <w:t>Tremelimumab</w:t>
            </w:r>
            <w:proofErr w:type="spellEnd"/>
            <w:r w:rsidRPr="00CA400C">
              <w:t xml:space="preserve"> in Patients With Recurrent or Metastatic Squamous Cell Carcinoma of the Head and Neck (SCCHN)</w:t>
            </w:r>
          </w:p>
          <w:p w14:paraId="1B42B526" w14:textId="77777777" w:rsidR="002A431B" w:rsidRPr="00CA400C" w:rsidRDefault="002A431B" w:rsidP="001A15E9">
            <w:pPr>
              <w:ind w:left="29"/>
            </w:pPr>
            <w:r w:rsidRPr="00CA400C">
              <w:t>(CONDOR)</w:t>
            </w:r>
          </w:p>
          <w:p w14:paraId="692C38DC" w14:textId="240E0864" w:rsidR="002A431B" w:rsidRPr="00CA400C" w:rsidRDefault="00F1375C" w:rsidP="001A15E9">
            <w:pPr>
              <w:ind w:left="29"/>
              <w:rPr>
                <w:b/>
                <w:szCs w:val="20"/>
              </w:rPr>
            </w:pPr>
            <w:r w:rsidRPr="00CA400C">
              <w:t>Clinicaltrials.gov identifier: NCT02319044</w:t>
            </w:r>
          </w:p>
        </w:tc>
        <w:tc>
          <w:tcPr>
            <w:tcW w:w="0" w:type="auto"/>
          </w:tcPr>
          <w:p w14:paraId="608E49C1" w14:textId="77777777" w:rsidR="002A431B" w:rsidRPr="00CA400C" w:rsidRDefault="002A431B" w:rsidP="001A15E9">
            <w:pPr>
              <w:ind w:left="29"/>
              <w:rPr>
                <w:szCs w:val="20"/>
              </w:rPr>
            </w:pPr>
            <w:r w:rsidRPr="00CA400C">
              <w:t>The purpose of this open</w:t>
            </w:r>
            <w:r w:rsidRPr="00CA400C">
              <w:noBreakHyphen/>
              <w:t>label study is to determine the efficacy and safety of investigational medical products (</w:t>
            </w:r>
            <w:proofErr w:type="spellStart"/>
            <w:r w:rsidRPr="00CA400C">
              <w:t>durvalumab</w:t>
            </w:r>
            <w:proofErr w:type="spellEnd"/>
            <w:r w:rsidRPr="00CA400C">
              <w:t xml:space="preserve"> monotherapy, </w:t>
            </w:r>
            <w:proofErr w:type="spellStart"/>
            <w:r w:rsidRPr="00CA400C">
              <w:t>tremelimumab</w:t>
            </w:r>
            <w:proofErr w:type="spellEnd"/>
            <w:r w:rsidRPr="00CA400C">
              <w:t xml:space="preserve"> monotherapy, and </w:t>
            </w:r>
            <w:proofErr w:type="spellStart"/>
            <w:r w:rsidRPr="00CA400C">
              <w:t>durvalumab</w:t>
            </w:r>
            <w:proofErr w:type="spellEnd"/>
            <w:r w:rsidRPr="00CA400C">
              <w:t xml:space="preserve"> + </w:t>
            </w:r>
            <w:proofErr w:type="spellStart"/>
            <w:r w:rsidRPr="00CA400C">
              <w:t>tremelimumab</w:t>
            </w:r>
            <w:proofErr w:type="spellEnd"/>
            <w:r w:rsidRPr="00CA400C">
              <w:t xml:space="preserve"> combination therapy) in the treatment of patients with PD</w:t>
            </w:r>
            <w:r w:rsidRPr="00CA400C">
              <w:noBreakHyphen/>
              <w:t>L1</w:t>
            </w:r>
            <w:r w:rsidRPr="00CA400C">
              <w:noBreakHyphen/>
              <w:t xml:space="preserve">negative recurrent or metastatic carcinoma of the head and neck </w:t>
            </w:r>
            <w:proofErr w:type="gramStart"/>
            <w:r w:rsidRPr="00CA400C">
              <w:t>who</w:t>
            </w:r>
            <w:proofErr w:type="gramEnd"/>
            <w:r w:rsidRPr="00CA400C">
              <w:t xml:space="preserve"> have progressed during or after treatment with a platinum containing regimen for recurrent/metastatic disease. </w:t>
            </w:r>
            <w:r w:rsidRPr="00CA400C">
              <w:rPr>
                <w:szCs w:val="20"/>
              </w:rPr>
              <w:t>This study is active but not recruiting. A total of 240 patients are expected to enrol in the trial.</w:t>
            </w:r>
          </w:p>
          <w:p w14:paraId="4DB0584A" w14:textId="11CDED1C" w:rsidR="002A431B" w:rsidRPr="00CA400C" w:rsidRDefault="002A431B" w:rsidP="001A15E9">
            <w:pPr>
              <w:ind w:left="29"/>
              <w:rPr>
                <w:b/>
                <w:szCs w:val="20"/>
              </w:rPr>
            </w:pPr>
          </w:p>
        </w:tc>
        <w:tc>
          <w:tcPr>
            <w:tcW w:w="0" w:type="auto"/>
          </w:tcPr>
          <w:p w14:paraId="0137ED4C" w14:textId="77777777" w:rsidR="002A431B" w:rsidRPr="00CA400C" w:rsidRDefault="002A431B" w:rsidP="001A15E9">
            <w:pPr>
              <w:ind w:left="29"/>
              <w:rPr>
                <w:b/>
                <w:szCs w:val="20"/>
              </w:rPr>
            </w:pPr>
            <w:r w:rsidRPr="00CA400C">
              <w:t xml:space="preserve">Link to details </w:t>
            </w:r>
            <w:hyperlink r:id="rId21" w:history="1">
              <w:r w:rsidRPr="00CA400C">
                <w:rPr>
                  <w:rStyle w:val="Hyperlink"/>
                </w:rPr>
                <w:t>here</w:t>
              </w:r>
            </w:hyperlink>
          </w:p>
        </w:tc>
        <w:tc>
          <w:tcPr>
            <w:tcW w:w="0" w:type="auto"/>
          </w:tcPr>
          <w:p w14:paraId="59972AFD" w14:textId="77777777" w:rsidR="002A431B" w:rsidRPr="00CA400C" w:rsidRDefault="002A431B" w:rsidP="001A15E9">
            <w:pPr>
              <w:ind w:left="29"/>
              <w:rPr>
                <w:b/>
                <w:szCs w:val="20"/>
              </w:rPr>
            </w:pPr>
            <w:r w:rsidRPr="00CA400C">
              <w:t>Q2 2017</w:t>
            </w:r>
          </w:p>
        </w:tc>
      </w:tr>
      <w:tr w:rsidR="002A431B" w:rsidRPr="00CA400C" w14:paraId="2EB3A3B2" w14:textId="77777777" w:rsidTr="006354EE">
        <w:trPr>
          <w:cantSplit/>
        </w:trPr>
        <w:tc>
          <w:tcPr>
            <w:tcW w:w="0" w:type="auto"/>
          </w:tcPr>
          <w:p w14:paraId="4FBF770C" w14:textId="6D9A3D24" w:rsidR="002A431B" w:rsidRPr="00CA400C" w:rsidRDefault="00F1375C" w:rsidP="001A15E9">
            <w:pPr>
              <w:ind w:left="29"/>
              <w:rPr>
                <w:szCs w:val="20"/>
              </w:rPr>
            </w:pPr>
            <w:r w:rsidRPr="00CA400C">
              <w:rPr>
                <w:szCs w:val="20"/>
              </w:rPr>
              <w:lastRenderedPageBreak/>
              <w:t>5</w:t>
            </w:r>
            <w:r w:rsidR="002A431B" w:rsidRPr="00CA400C">
              <w:rPr>
                <w:szCs w:val="20"/>
              </w:rPr>
              <w:t>.</w:t>
            </w:r>
          </w:p>
        </w:tc>
        <w:tc>
          <w:tcPr>
            <w:tcW w:w="0" w:type="auto"/>
          </w:tcPr>
          <w:p w14:paraId="7F46DA74" w14:textId="77777777" w:rsidR="002A431B" w:rsidRPr="00CA400C" w:rsidRDefault="002A431B" w:rsidP="001A15E9">
            <w:pPr>
              <w:ind w:left="29"/>
              <w:rPr>
                <w:szCs w:val="20"/>
              </w:rPr>
            </w:pPr>
            <w:r w:rsidRPr="00CA400C">
              <w:rPr>
                <w:szCs w:val="20"/>
              </w:rPr>
              <w:t>Randomised controlled trial</w:t>
            </w:r>
          </w:p>
        </w:tc>
        <w:tc>
          <w:tcPr>
            <w:tcW w:w="0" w:type="auto"/>
          </w:tcPr>
          <w:p w14:paraId="5C377ED6" w14:textId="77777777" w:rsidR="002A431B" w:rsidRPr="00CA400C" w:rsidRDefault="002A431B" w:rsidP="001A15E9">
            <w:pPr>
              <w:ind w:left="29"/>
            </w:pPr>
            <w:r w:rsidRPr="00CA400C">
              <w:t>A Phase III Randomized, Open</w:t>
            </w:r>
            <w:r w:rsidRPr="00CA400C">
              <w:noBreakHyphen/>
              <w:t>Label, Multi</w:t>
            </w:r>
            <w:r w:rsidRPr="00CA400C">
              <w:noBreakHyphen/>
            </w:r>
            <w:proofErr w:type="spellStart"/>
            <w:r w:rsidRPr="00CA400C">
              <w:t>Center</w:t>
            </w:r>
            <w:proofErr w:type="spellEnd"/>
            <w:r w:rsidRPr="00CA400C">
              <w:t xml:space="preserve">, Global Study of MEDI4736 Monotherapy and MEDI4736 in Combination With </w:t>
            </w:r>
            <w:proofErr w:type="spellStart"/>
            <w:r w:rsidRPr="00CA400C">
              <w:t>Tremelimumab</w:t>
            </w:r>
            <w:proofErr w:type="spellEnd"/>
            <w:r w:rsidRPr="00CA400C">
              <w:t xml:space="preserve"> Versus Standard of Care Therapy in Patients With Recurrent or Metastatic Squamous Cell Carcinoma of the Head and Neck (SCCHN)</w:t>
            </w:r>
          </w:p>
          <w:p w14:paraId="5809CAC2" w14:textId="77777777" w:rsidR="002A431B" w:rsidRPr="00CA400C" w:rsidRDefault="002A431B" w:rsidP="001A15E9">
            <w:pPr>
              <w:ind w:left="29"/>
            </w:pPr>
            <w:r w:rsidRPr="00CA400C">
              <w:t>(EAGLE)</w:t>
            </w:r>
          </w:p>
          <w:p w14:paraId="0AB4475A" w14:textId="4C3F9972" w:rsidR="002A431B" w:rsidRPr="00CA400C" w:rsidRDefault="00F1375C" w:rsidP="001A15E9">
            <w:pPr>
              <w:ind w:left="29"/>
              <w:rPr>
                <w:b/>
                <w:szCs w:val="20"/>
              </w:rPr>
            </w:pPr>
            <w:r w:rsidRPr="00CA400C">
              <w:t>Clinicaltrials.gov identifier: NCT02369874</w:t>
            </w:r>
          </w:p>
        </w:tc>
        <w:tc>
          <w:tcPr>
            <w:tcW w:w="0" w:type="auto"/>
          </w:tcPr>
          <w:p w14:paraId="4121F720" w14:textId="77777777" w:rsidR="002A431B" w:rsidRPr="00CA400C" w:rsidRDefault="002A431B" w:rsidP="001A15E9">
            <w:pPr>
              <w:ind w:left="29"/>
            </w:pPr>
            <w:r w:rsidRPr="00CA400C">
              <w:t>A randomised, open</w:t>
            </w:r>
            <w:r w:rsidRPr="00CA400C">
              <w:noBreakHyphen/>
              <w:t>label, multi</w:t>
            </w:r>
            <w:r w:rsidRPr="00CA400C">
              <w:noBreakHyphen/>
              <w:t xml:space="preserve">centre, global, Phase III study to determine the efficacy and safety of </w:t>
            </w:r>
            <w:proofErr w:type="spellStart"/>
            <w:r w:rsidRPr="00CA400C">
              <w:t>durvalumab</w:t>
            </w:r>
            <w:proofErr w:type="spellEnd"/>
            <w:r w:rsidRPr="00CA400C">
              <w:t xml:space="preserve"> + </w:t>
            </w:r>
            <w:proofErr w:type="spellStart"/>
            <w:r w:rsidRPr="00CA400C">
              <w:t>tremelimumab</w:t>
            </w:r>
            <w:proofErr w:type="spellEnd"/>
            <w:r w:rsidRPr="00CA400C">
              <w:t xml:space="preserve"> combination therapy and </w:t>
            </w:r>
            <w:proofErr w:type="spellStart"/>
            <w:r w:rsidRPr="00CA400C">
              <w:t>durvalumab</w:t>
            </w:r>
            <w:proofErr w:type="spellEnd"/>
            <w:r w:rsidRPr="00CA400C">
              <w:t xml:space="preserve"> monotherapy versus standard of care therapy in patients with recurrent or metastatic PD</w:t>
            </w:r>
            <w:r w:rsidRPr="00CA400C">
              <w:noBreakHyphen/>
              <w:t>L1</w:t>
            </w:r>
            <w:r w:rsidRPr="00CA400C">
              <w:noBreakHyphen/>
              <w:t xml:space="preserve">positive or </w:t>
            </w:r>
            <w:r w:rsidRPr="00CA400C">
              <w:noBreakHyphen/>
              <w:t>negative squamous cell carcinoma of the head and neck (SCCHN). This study is still recruiting patients. A total of 720 patients are expected to be enrolled in the study.</w:t>
            </w:r>
          </w:p>
          <w:p w14:paraId="4F125FA4" w14:textId="49974BB1" w:rsidR="002A431B" w:rsidRPr="00CA400C" w:rsidRDefault="002A431B" w:rsidP="001A15E9">
            <w:pPr>
              <w:ind w:left="29"/>
              <w:rPr>
                <w:b/>
                <w:szCs w:val="20"/>
              </w:rPr>
            </w:pPr>
          </w:p>
        </w:tc>
        <w:tc>
          <w:tcPr>
            <w:tcW w:w="0" w:type="auto"/>
          </w:tcPr>
          <w:p w14:paraId="0EEBE854" w14:textId="77777777" w:rsidR="002A431B" w:rsidRPr="00CA400C" w:rsidRDefault="002A431B" w:rsidP="001A15E9">
            <w:pPr>
              <w:ind w:left="29"/>
              <w:rPr>
                <w:b/>
                <w:szCs w:val="20"/>
              </w:rPr>
            </w:pPr>
            <w:r w:rsidRPr="00CA400C">
              <w:t xml:space="preserve">Link to details </w:t>
            </w:r>
            <w:hyperlink r:id="rId22" w:history="1">
              <w:r w:rsidRPr="00CA400C">
                <w:rPr>
                  <w:rStyle w:val="Hyperlink"/>
                </w:rPr>
                <w:t>here</w:t>
              </w:r>
            </w:hyperlink>
          </w:p>
        </w:tc>
        <w:tc>
          <w:tcPr>
            <w:tcW w:w="0" w:type="auto"/>
          </w:tcPr>
          <w:p w14:paraId="0B3C9884" w14:textId="77777777" w:rsidR="002A431B" w:rsidRPr="00CA400C" w:rsidRDefault="002A431B" w:rsidP="001A15E9">
            <w:pPr>
              <w:ind w:left="29"/>
              <w:rPr>
                <w:b/>
                <w:szCs w:val="20"/>
              </w:rPr>
            </w:pPr>
            <w:r w:rsidRPr="00CA400C">
              <w:t>Q1 2018</w:t>
            </w:r>
          </w:p>
        </w:tc>
      </w:tr>
    </w:tbl>
    <w:p w14:paraId="3A6E4B58" w14:textId="0DD9CDB6" w:rsidR="00DD308E" w:rsidRPr="00CA400C" w:rsidRDefault="00DD308E">
      <w:pPr>
        <w:rPr>
          <w:b/>
          <w:sz w:val="32"/>
          <w:szCs w:val="32"/>
        </w:rPr>
        <w:sectPr w:rsidR="00DD308E" w:rsidRPr="00CA400C" w:rsidSect="00DD308E">
          <w:pgSz w:w="16838" w:h="11906" w:orient="landscape"/>
          <w:pgMar w:top="1440" w:right="1440" w:bottom="1440" w:left="1440" w:header="708" w:footer="708" w:gutter="0"/>
          <w:cols w:space="708"/>
          <w:docGrid w:linePitch="360"/>
        </w:sectPr>
      </w:pPr>
    </w:p>
    <w:p w14:paraId="344D32B4" w14:textId="77777777" w:rsidR="00E82F54" w:rsidRPr="00CA400C" w:rsidRDefault="005C3AE7" w:rsidP="00CA26DD">
      <w:pPr>
        <w:pStyle w:val="Heading1"/>
      </w:pPr>
      <w:r w:rsidRPr="00CA400C">
        <w:lastRenderedPageBreak/>
        <w:t>PART 5</w:t>
      </w:r>
      <w:r w:rsidR="00F93784" w:rsidRPr="00CA400C">
        <w:t xml:space="preserve"> – </w:t>
      </w:r>
      <w:r w:rsidR="00E82F54" w:rsidRPr="00CA400C">
        <w:t>CLINICAL ENDORSEMENT AND CONSUMER INFORMATION</w:t>
      </w:r>
    </w:p>
    <w:p w14:paraId="109F0507" w14:textId="7B4D8916" w:rsidR="00E82F54" w:rsidRPr="00CA400C" w:rsidRDefault="00E82F54" w:rsidP="005C3AE7">
      <w:pPr>
        <w:pStyle w:val="Heading2"/>
      </w:pPr>
      <w:r w:rsidRPr="00CA400C">
        <w:t xml:space="preserve">List </w:t>
      </w:r>
      <w:r w:rsidR="00EA173C" w:rsidRPr="00CA400C">
        <w:t xml:space="preserve">all </w:t>
      </w:r>
      <w:r w:rsidR="003855CD" w:rsidRPr="00CA400C">
        <w:t>appropriate professional bodies</w:t>
      </w:r>
      <w:r w:rsidR="00EA173C" w:rsidRPr="00CA400C">
        <w:t>/organisations</w:t>
      </w:r>
      <w:r w:rsidRPr="00CA400C">
        <w:t xml:space="preserve"> representing the group(s) of health profess</w:t>
      </w:r>
      <w:r w:rsidR="00EA173C" w:rsidRPr="00CA400C">
        <w:t xml:space="preserve">ionals who provide the service </w:t>
      </w:r>
      <w:r w:rsidR="00F93784" w:rsidRPr="00CA400C">
        <w:t xml:space="preserve">(please </w:t>
      </w:r>
      <w:r w:rsidR="00EA173C" w:rsidRPr="00CA400C">
        <w:t>attach</w:t>
      </w:r>
      <w:r w:rsidR="00F93784" w:rsidRPr="00CA400C">
        <w:t xml:space="preserve"> a </w:t>
      </w:r>
      <w:r w:rsidR="00254813" w:rsidRPr="00CA400C">
        <w:t>statement of clinical relevance from</w:t>
      </w:r>
      <w:r w:rsidR="00EA173C" w:rsidRPr="00CA400C">
        <w:t xml:space="preserve"> each </w:t>
      </w:r>
      <w:r w:rsidR="00F93784" w:rsidRPr="00CA400C">
        <w:t>group</w:t>
      </w:r>
      <w:r w:rsidR="00EA173C" w:rsidRPr="00CA400C">
        <w:t xml:space="preserve"> nominated</w:t>
      </w:r>
      <w:r w:rsidR="00F93784" w:rsidRPr="00CA400C">
        <w:t>)</w:t>
      </w:r>
      <w:r w:rsidR="00A727B6" w:rsidRPr="00CA400C">
        <w:t>:</w:t>
      </w:r>
    </w:p>
    <w:p w14:paraId="3F9084A8" w14:textId="0C3DB1E6" w:rsidR="00A727B6" w:rsidRPr="00CA400C" w:rsidRDefault="00BB64CB" w:rsidP="00A727B6">
      <w:pPr>
        <w:ind w:left="426"/>
      </w:pPr>
      <w:proofErr w:type="gramStart"/>
      <w:r w:rsidRPr="00CA400C">
        <w:t>Royal College of Pathologists</w:t>
      </w:r>
      <w:r w:rsidR="001A2032" w:rsidRPr="00CA400C">
        <w:t xml:space="preserve"> Australasia </w:t>
      </w:r>
      <w:r w:rsidR="0047358E" w:rsidRPr="00CA400C">
        <w:t>(RC</w:t>
      </w:r>
      <w:r w:rsidR="001A2032" w:rsidRPr="00CA400C">
        <w:t>P</w:t>
      </w:r>
      <w:r w:rsidR="0047358E" w:rsidRPr="00CA400C">
        <w:t>A</w:t>
      </w:r>
      <w:r w:rsidR="001A2032" w:rsidRPr="00CA400C">
        <w:t>)</w:t>
      </w:r>
      <w:r w:rsidR="00DB2081" w:rsidRPr="00CA400C">
        <w:t>.</w:t>
      </w:r>
      <w:proofErr w:type="gramEnd"/>
      <w:r w:rsidR="00DB2081" w:rsidRPr="00CA400C">
        <w:t xml:space="preserve"> </w:t>
      </w:r>
    </w:p>
    <w:p w14:paraId="263DF3D4" w14:textId="3650347F" w:rsidR="00EA173C" w:rsidRPr="00CA400C" w:rsidRDefault="00EA173C" w:rsidP="00530204">
      <w:pPr>
        <w:pStyle w:val="Heading2"/>
      </w:pPr>
      <w:r w:rsidRPr="00CA400C">
        <w:t>List any professional</w:t>
      </w:r>
      <w:r w:rsidR="003855CD" w:rsidRPr="00CA400C">
        <w:t xml:space="preserve"> bodies</w:t>
      </w:r>
      <w:r w:rsidRPr="00CA400C">
        <w:t>/organisations that may be impacted by this medical service</w:t>
      </w:r>
      <w:r w:rsidR="00F93784" w:rsidRPr="00CA400C">
        <w:t xml:space="preserve"> (i.e. those who provide the comparator service)</w:t>
      </w:r>
      <w:r w:rsidR="00197D29" w:rsidRPr="00CA400C">
        <w:t>:</w:t>
      </w:r>
    </w:p>
    <w:p w14:paraId="31BFDAD7" w14:textId="77777777" w:rsidR="001A2032" w:rsidRPr="00CA400C" w:rsidRDefault="001333E8" w:rsidP="001A2032">
      <w:pPr>
        <w:ind w:left="426"/>
      </w:pPr>
      <w:r w:rsidRPr="00CA400C">
        <w:t>Not applicable.</w:t>
      </w:r>
      <w:r w:rsidR="00DB2081" w:rsidRPr="00CA400C">
        <w:t xml:space="preserve"> </w:t>
      </w:r>
    </w:p>
    <w:p w14:paraId="283B473E" w14:textId="77777777" w:rsidR="00E82F54" w:rsidRPr="00CA400C" w:rsidRDefault="00E82F54" w:rsidP="00530204">
      <w:pPr>
        <w:pStyle w:val="Heading2"/>
      </w:pPr>
      <w:r w:rsidRPr="00CA400C">
        <w:t>List the relevant consumer organisations relevant to the proposed medical service</w:t>
      </w:r>
      <w:r w:rsidR="00C12C5C" w:rsidRPr="00CA400C">
        <w:t xml:space="preserve"> (please attach a letter of support for each consumer organisation nominated)</w:t>
      </w:r>
      <w:r w:rsidR="00197D29" w:rsidRPr="00CA400C">
        <w:t>:</w:t>
      </w:r>
    </w:p>
    <w:p w14:paraId="0528E6E6" w14:textId="0EE8E318" w:rsidR="00E82F54" w:rsidRPr="00CA400C" w:rsidRDefault="00A540EB" w:rsidP="00A727B6">
      <w:pPr>
        <w:ind w:left="426"/>
        <w:rPr>
          <w:szCs w:val="20"/>
        </w:rPr>
      </w:pPr>
      <w:r w:rsidRPr="00CA400C">
        <w:t>Rare Cancers Australia</w:t>
      </w:r>
      <w:r w:rsidR="00DB2081" w:rsidRPr="00CA400C">
        <w:t xml:space="preserve"> (RCA) is the consumer group most representative of those with SCCHN. </w:t>
      </w:r>
    </w:p>
    <w:p w14:paraId="0D2EC313" w14:textId="20D3F530" w:rsidR="003433D1" w:rsidRPr="00CA400C" w:rsidRDefault="003433D1" w:rsidP="00530204">
      <w:pPr>
        <w:pStyle w:val="Heading2"/>
      </w:pPr>
      <w:r w:rsidRPr="00CA400C">
        <w:t>List the relevant sponsor</w:t>
      </w:r>
      <w:r w:rsidR="003855CD" w:rsidRPr="00CA400C">
        <w:t>(s) and</w:t>
      </w:r>
      <w:r w:rsidRPr="00CA400C">
        <w:t xml:space="preserve">/or manufacturer(s) who produce similar products relevant </w:t>
      </w:r>
      <w:r w:rsidR="00197D29" w:rsidRPr="00CA400C">
        <w:t>to the proposed medical service:</w:t>
      </w:r>
    </w:p>
    <w:p w14:paraId="342F13EE" w14:textId="63CE2A26" w:rsidR="00135F3C" w:rsidRPr="00CA400C" w:rsidRDefault="00135F3C" w:rsidP="00135F3C">
      <w:pPr>
        <w:ind w:left="426"/>
        <w:rPr>
          <w:szCs w:val="20"/>
        </w:rPr>
      </w:pPr>
      <w:r w:rsidRPr="00CA400C">
        <w:t xml:space="preserve">There is no </w:t>
      </w:r>
      <w:r w:rsidR="00D23155" w:rsidRPr="00CA400C">
        <w:t>‘</w:t>
      </w:r>
      <w:r w:rsidRPr="00CA400C">
        <w:t>gold standard</w:t>
      </w:r>
      <w:r w:rsidR="00D23155" w:rsidRPr="00CA400C">
        <w:t>’</w:t>
      </w:r>
      <w:r w:rsidRPr="00CA400C">
        <w:t xml:space="preserve"> PD</w:t>
      </w:r>
      <w:r w:rsidR="00B25D32" w:rsidRPr="00CA400C">
        <w:noBreakHyphen/>
      </w:r>
      <w:r w:rsidRPr="00CA400C">
        <w:t>L1 assay accepted at present</w:t>
      </w:r>
      <w:r w:rsidR="00FE74EC" w:rsidRPr="00CA400C">
        <w:t xml:space="preserve">. </w:t>
      </w:r>
      <w:r w:rsidRPr="00CA400C">
        <w:t>A comparison of the evidentiary standard (</w:t>
      </w:r>
      <w:r w:rsidR="00282E01" w:rsidRPr="00CA400C">
        <w:t xml:space="preserve">the </w:t>
      </w:r>
      <w:r w:rsidRPr="00CA400C">
        <w:t>test method used in the AstraZeneca trials) with alternative PD</w:t>
      </w:r>
      <w:r w:rsidR="00B25D32" w:rsidRPr="00CA400C">
        <w:noBreakHyphen/>
      </w:r>
      <w:r w:rsidRPr="00CA400C">
        <w:t xml:space="preserve">L1 testing methods </w:t>
      </w:r>
      <w:r w:rsidR="006D0BE7" w:rsidRPr="00CA400C">
        <w:t>will</w:t>
      </w:r>
      <w:r w:rsidRPr="00CA400C">
        <w:t xml:space="preserve"> be conducted in the co</w:t>
      </w:r>
      <w:r w:rsidR="00B25D32" w:rsidRPr="00CA400C">
        <w:noBreakHyphen/>
      </w:r>
      <w:r w:rsidRPr="00CA400C">
        <w:t>dependent submission</w:t>
      </w:r>
      <w:r w:rsidR="001A633A" w:rsidRPr="00CA400C">
        <w:t>s</w:t>
      </w:r>
      <w:r w:rsidRPr="00CA400C">
        <w:t xml:space="preserve"> </w:t>
      </w:r>
      <w:r w:rsidR="00116EB1" w:rsidRPr="00CA400C">
        <w:t>that will follow</w:t>
      </w:r>
      <w:r w:rsidRPr="00CA400C">
        <w:t xml:space="preserve"> this application.</w:t>
      </w:r>
    </w:p>
    <w:p w14:paraId="0D1C51AE" w14:textId="77777777" w:rsidR="00E82F54" w:rsidRPr="00CA400C" w:rsidRDefault="00E82F54" w:rsidP="00530204">
      <w:pPr>
        <w:pStyle w:val="Heading2"/>
      </w:pPr>
      <w:r w:rsidRPr="00CA400C">
        <w:t>Nominate two experts who could be approached about the proposed medical service and the current clinical management of the service(s):</w:t>
      </w:r>
    </w:p>
    <w:p w14:paraId="127626E1" w14:textId="29F13F37" w:rsidR="00987ABE" w:rsidRPr="00CA400C" w:rsidRDefault="00987ABE" w:rsidP="00987ABE">
      <w:pPr>
        <w:ind w:left="426"/>
        <w:rPr>
          <w:szCs w:val="20"/>
        </w:rPr>
      </w:pPr>
      <w:r w:rsidRPr="00CA400C">
        <w:rPr>
          <w:b/>
          <w:szCs w:val="20"/>
        </w:rPr>
        <w:t>Name of expert 1</w:t>
      </w:r>
      <w:r w:rsidRPr="00CA400C">
        <w:rPr>
          <w:szCs w:val="20"/>
        </w:rPr>
        <w:t xml:space="preserve">: </w:t>
      </w:r>
      <w:r w:rsidR="008051A7" w:rsidRPr="00CA400C">
        <w:rPr>
          <w:szCs w:val="20"/>
        </w:rPr>
        <w:t>Redacted</w:t>
      </w:r>
    </w:p>
    <w:p w14:paraId="59BE2EB9" w14:textId="38CA1C18" w:rsidR="00987ABE" w:rsidRPr="00CA400C" w:rsidRDefault="00987ABE" w:rsidP="00987ABE">
      <w:pPr>
        <w:ind w:left="426"/>
        <w:rPr>
          <w:szCs w:val="20"/>
        </w:rPr>
      </w:pPr>
      <w:r w:rsidRPr="00CA400C">
        <w:rPr>
          <w:szCs w:val="20"/>
        </w:rPr>
        <w:t xml:space="preserve">Telephone number(s): </w:t>
      </w:r>
      <w:r w:rsidR="008051A7" w:rsidRPr="00CA400C">
        <w:rPr>
          <w:szCs w:val="20"/>
        </w:rPr>
        <w:t>Redacted</w:t>
      </w:r>
    </w:p>
    <w:p w14:paraId="701356C1" w14:textId="2DE39C07" w:rsidR="00987ABE" w:rsidRPr="00CA400C" w:rsidRDefault="00987ABE" w:rsidP="00987ABE">
      <w:pPr>
        <w:ind w:left="426"/>
        <w:rPr>
          <w:szCs w:val="20"/>
        </w:rPr>
      </w:pPr>
      <w:r w:rsidRPr="00CA400C">
        <w:rPr>
          <w:szCs w:val="20"/>
        </w:rPr>
        <w:t xml:space="preserve">Email address: </w:t>
      </w:r>
      <w:r w:rsidR="008051A7" w:rsidRPr="00CA400C">
        <w:rPr>
          <w:szCs w:val="20"/>
        </w:rPr>
        <w:t>Redacted</w:t>
      </w:r>
    </w:p>
    <w:p w14:paraId="2230755D" w14:textId="17C7F72C" w:rsidR="00987ABE" w:rsidRPr="00CA400C" w:rsidRDefault="00987ABE" w:rsidP="00462595">
      <w:pPr>
        <w:keepNext/>
        <w:rPr>
          <w:szCs w:val="20"/>
        </w:rPr>
      </w:pPr>
      <w:r w:rsidRPr="00CA400C">
        <w:rPr>
          <w:b/>
          <w:szCs w:val="20"/>
        </w:rPr>
        <w:t>Name of expert 2</w:t>
      </w:r>
      <w:r w:rsidRPr="00CA400C">
        <w:rPr>
          <w:szCs w:val="20"/>
        </w:rPr>
        <w:t xml:space="preserve">: </w:t>
      </w:r>
      <w:r w:rsidR="008051A7" w:rsidRPr="00CA400C">
        <w:rPr>
          <w:szCs w:val="20"/>
        </w:rPr>
        <w:t>Redacted</w:t>
      </w:r>
    </w:p>
    <w:p w14:paraId="38133DD0" w14:textId="5403D7EA" w:rsidR="00987ABE" w:rsidRPr="00CA400C" w:rsidRDefault="00987ABE" w:rsidP="00462595">
      <w:pPr>
        <w:keepNext/>
        <w:rPr>
          <w:szCs w:val="20"/>
        </w:rPr>
      </w:pPr>
      <w:r w:rsidRPr="00CA400C">
        <w:rPr>
          <w:szCs w:val="20"/>
        </w:rPr>
        <w:t xml:space="preserve">Telephone number(s): </w:t>
      </w:r>
      <w:r w:rsidR="008051A7" w:rsidRPr="00CA400C">
        <w:rPr>
          <w:szCs w:val="20"/>
        </w:rPr>
        <w:t>Redacted</w:t>
      </w:r>
    </w:p>
    <w:p w14:paraId="553723E9" w14:textId="3EB98E0B" w:rsidR="00987ABE" w:rsidRPr="00CA400C" w:rsidRDefault="00987ABE" w:rsidP="00462595">
      <w:pPr>
        <w:rPr>
          <w:szCs w:val="20"/>
        </w:rPr>
      </w:pPr>
      <w:r w:rsidRPr="00CA400C">
        <w:rPr>
          <w:szCs w:val="20"/>
        </w:rPr>
        <w:t xml:space="preserve">Email address: </w:t>
      </w:r>
      <w:r w:rsidR="008051A7" w:rsidRPr="00CA400C">
        <w:rPr>
          <w:szCs w:val="20"/>
        </w:rPr>
        <w:t>Redacted</w:t>
      </w:r>
    </w:p>
    <w:p w14:paraId="4EC11E0D" w14:textId="77777777" w:rsidR="00E82F54" w:rsidRPr="00CA400C" w:rsidRDefault="00E82F54" w:rsidP="00E82F54">
      <w:pPr>
        <w:ind w:left="426"/>
        <w:rPr>
          <w:i/>
          <w:szCs w:val="20"/>
        </w:rPr>
      </w:pPr>
      <w:r w:rsidRPr="00CA400C">
        <w:rPr>
          <w:i/>
          <w:szCs w:val="20"/>
        </w:rPr>
        <w:t xml:space="preserve">Please note that the Department may also consult with other referrers, </w:t>
      </w:r>
      <w:proofErr w:type="spellStart"/>
      <w:r w:rsidRPr="00CA400C">
        <w:rPr>
          <w:i/>
          <w:szCs w:val="20"/>
        </w:rPr>
        <w:t>proceduralists</w:t>
      </w:r>
      <w:proofErr w:type="spellEnd"/>
      <w:r w:rsidRPr="00CA400C">
        <w:rPr>
          <w:i/>
          <w:szCs w:val="20"/>
        </w:rPr>
        <w:t xml:space="preserve"> and disease specialists to obtain their insight.</w:t>
      </w:r>
    </w:p>
    <w:p w14:paraId="61AABF39" w14:textId="77777777" w:rsidR="003433D1" w:rsidRPr="00CA400C" w:rsidRDefault="003433D1">
      <w:pPr>
        <w:rPr>
          <w:b/>
          <w:sz w:val="32"/>
          <w:szCs w:val="32"/>
        </w:rPr>
      </w:pPr>
      <w:r w:rsidRPr="00CA400C">
        <w:rPr>
          <w:b/>
          <w:sz w:val="32"/>
          <w:szCs w:val="32"/>
        </w:rPr>
        <w:br w:type="page"/>
      </w:r>
    </w:p>
    <w:p w14:paraId="6E76DA20" w14:textId="77777777" w:rsidR="00E82F54" w:rsidRPr="00CA400C" w:rsidRDefault="00F93784" w:rsidP="00A96329">
      <w:pPr>
        <w:pStyle w:val="Heading1"/>
      </w:pPr>
      <w:r w:rsidRPr="00CA400C">
        <w:lastRenderedPageBreak/>
        <w:t>PAR</w:t>
      </w:r>
      <w:r w:rsidR="005C3AE7" w:rsidRPr="00CA400C">
        <w:t>T 6</w:t>
      </w:r>
      <w:r w:rsidRPr="00CA400C">
        <w:t xml:space="preserve"> – POPULATION</w:t>
      </w:r>
      <w:r w:rsidR="000525BC" w:rsidRPr="00CA400C">
        <w:t xml:space="preserve"> (AND PRIOR TESTS)</w:t>
      </w:r>
      <w:r w:rsidRPr="00CA400C">
        <w:t>, INDICATION, COMPARATOR, OUTCOME (PICO)</w:t>
      </w:r>
    </w:p>
    <w:p w14:paraId="609AF775" w14:textId="77777777" w:rsidR="0021185D" w:rsidRPr="00CA400C" w:rsidRDefault="005C3AE7" w:rsidP="005C3AE7">
      <w:pPr>
        <w:pStyle w:val="Subtitle"/>
      </w:pPr>
      <w:r w:rsidRPr="00CA400C">
        <w:t xml:space="preserve">PART 6a – </w:t>
      </w:r>
      <w:r w:rsidR="0021185D" w:rsidRPr="00CA400C">
        <w:t>INFORMATION ABOUT THE PROPOSED POPULATION</w:t>
      </w:r>
    </w:p>
    <w:p w14:paraId="34142AD5" w14:textId="2B418158" w:rsidR="0021185D" w:rsidRPr="00CA400C" w:rsidRDefault="0021185D" w:rsidP="005C3AE7">
      <w:pPr>
        <w:pStyle w:val="Heading2"/>
      </w:pPr>
      <w:r w:rsidRPr="00CA400C">
        <w:t>Define the medical condition, including providing information</w:t>
      </w:r>
      <w:r w:rsidR="00DF0C51" w:rsidRPr="00CA400C">
        <w:t xml:space="preserve"> on the natural history of the </w:t>
      </w:r>
      <w:r w:rsidRPr="00CA400C">
        <w:t>condition</w:t>
      </w:r>
      <w:r w:rsidR="0018630F" w:rsidRPr="00CA400C">
        <w:t xml:space="preserve"> and a high</w:t>
      </w:r>
      <w:r w:rsidR="00B25D32" w:rsidRPr="00CA400C">
        <w:noBreakHyphen/>
      </w:r>
      <w:r w:rsidR="0018630F" w:rsidRPr="00CA400C">
        <w:t>level</w:t>
      </w:r>
      <w:r w:rsidR="009C03FB" w:rsidRPr="00CA400C">
        <w:t xml:space="preserve"> summary of associated </w:t>
      </w:r>
      <w:r w:rsidR="0018630F" w:rsidRPr="00CA400C">
        <w:t>burden of disea</w:t>
      </w:r>
      <w:r w:rsidR="009C03FB" w:rsidRPr="00CA400C">
        <w:t>se</w:t>
      </w:r>
      <w:r w:rsidR="0054594B" w:rsidRPr="00CA400C">
        <w:t xml:space="preserve"> in terms of both morbidity and mortality</w:t>
      </w:r>
      <w:r w:rsidR="00197D29" w:rsidRPr="00CA400C">
        <w:t>:</w:t>
      </w:r>
    </w:p>
    <w:p w14:paraId="04BBF35E" w14:textId="77777777" w:rsidR="006223D1" w:rsidRPr="00CA400C" w:rsidRDefault="0005762E" w:rsidP="00E357B9">
      <w:pPr>
        <w:ind w:left="426"/>
      </w:pPr>
      <w:r w:rsidRPr="00CA400C">
        <w:t>Head and neck cancers are among the most commonly diagnosed cancers in Australia, ranked fifth in males</w:t>
      </w:r>
      <w:r w:rsidR="006B16B7" w:rsidRPr="00CA400C">
        <w:t>,</w:t>
      </w:r>
      <w:r w:rsidRPr="00CA400C">
        <w:t xml:space="preserve"> eleventh in females</w:t>
      </w:r>
      <w:r w:rsidR="006B16B7" w:rsidRPr="00CA400C">
        <w:t>, and eighth overall</w:t>
      </w:r>
      <w:r w:rsidRPr="00CA400C">
        <w:t xml:space="preserve"> (AIHW 2017). </w:t>
      </w:r>
      <w:r w:rsidR="00282E01" w:rsidRPr="00CA400C">
        <w:t>Most</w:t>
      </w:r>
      <w:r w:rsidRPr="00CA400C">
        <w:t xml:space="preserve"> head and neck cancers arise</w:t>
      </w:r>
      <w:r w:rsidR="00A44385" w:rsidRPr="00CA400C">
        <w:t xml:space="preserve"> from the squamous cells. Squamous cell carcinomas of the head and neck (SCCHN), as they are collectively known, are </w:t>
      </w:r>
      <w:r w:rsidR="00314514" w:rsidRPr="00CA400C">
        <w:t xml:space="preserve">observed in the mucosa of the mouth, nose, larynx, pharynx, lips, </w:t>
      </w:r>
      <w:proofErr w:type="gramStart"/>
      <w:r w:rsidR="00314514" w:rsidRPr="00CA400C">
        <w:t>salivary</w:t>
      </w:r>
      <w:proofErr w:type="gramEnd"/>
      <w:r w:rsidR="00314514" w:rsidRPr="00CA400C">
        <w:t xml:space="preserve"> glands and associated structures. </w:t>
      </w:r>
    </w:p>
    <w:p w14:paraId="3974034A" w14:textId="62EA41A3" w:rsidR="002A6753" w:rsidRPr="00CA400C" w:rsidRDefault="00117E40" w:rsidP="00E357B9">
      <w:pPr>
        <w:ind w:left="426"/>
      </w:pPr>
      <w:r w:rsidRPr="00CA400C">
        <w:t>In W</w:t>
      </w:r>
      <w:r w:rsidR="00314514" w:rsidRPr="00CA400C">
        <w:t xml:space="preserve">estern countries, SCCHN </w:t>
      </w:r>
      <w:r w:rsidR="00116EB1" w:rsidRPr="00CA400C">
        <w:t>is</w:t>
      </w:r>
      <w:r w:rsidR="00314514" w:rsidRPr="00CA400C">
        <w:t xml:space="preserve"> </w:t>
      </w:r>
      <w:r w:rsidRPr="00CA400C">
        <w:t xml:space="preserve">most closely </w:t>
      </w:r>
      <w:r w:rsidR="00314514" w:rsidRPr="00CA400C">
        <w:t>associated with cigarette smoking, alcohol consumption and poor oral health. In other countries, risk factors also include using snuff, chewing betel nut and smoking bidis</w:t>
      </w:r>
      <w:r w:rsidR="00AE7057" w:rsidRPr="00CA400C">
        <w:t xml:space="preserve"> (Sanderson and </w:t>
      </w:r>
      <w:proofErr w:type="spellStart"/>
      <w:r w:rsidR="00AE7057" w:rsidRPr="00CA400C">
        <w:t>Ironside</w:t>
      </w:r>
      <w:proofErr w:type="spellEnd"/>
      <w:r w:rsidR="00AE7057" w:rsidRPr="00CA400C">
        <w:t xml:space="preserve"> 2002)</w:t>
      </w:r>
      <w:r w:rsidR="00314514" w:rsidRPr="00CA400C">
        <w:t>.</w:t>
      </w:r>
      <w:r w:rsidR="004226E7" w:rsidRPr="00CA400C">
        <w:t xml:space="preserve"> Recently, human papilloma virus (HPV) has been implicated in an increasing number of cases of SCCHN (</w:t>
      </w:r>
      <w:proofErr w:type="spellStart"/>
      <w:r w:rsidR="004226E7" w:rsidRPr="00CA400C">
        <w:t>Economopoulou</w:t>
      </w:r>
      <w:proofErr w:type="spellEnd"/>
      <w:r w:rsidR="004226E7" w:rsidRPr="00CA400C">
        <w:t xml:space="preserve"> et al 2016).</w:t>
      </w:r>
      <w:r w:rsidR="004F20B5" w:rsidRPr="00CA400C">
        <w:t xml:space="preserve"> Patients with HPV</w:t>
      </w:r>
      <w:r w:rsidR="00B25D32" w:rsidRPr="00CA400C">
        <w:noBreakHyphen/>
      </w:r>
      <w:r w:rsidR="004F20B5" w:rsidRPr="00CA400C">
        <w:t>related SCCHN tend to be younger and have a better prognosis than those whose cancers have other causes.</w:t>
      </w:r>
    </w:p>
    <w:p w14:paraId="32AEF2D1" w14:textId="1CCB4AB7" w:rsidR="00117E40" w:rsidRPr="00CA400C" w:rsidRDefault="00314514" w:rsidP="00E357B9">
      <w:pPr>
        <w:ind w:left="426"/>
        <w:rPr>
          <w:szCs w:val="20"/>
        </w:rPr>
      </w:pPr>
      <w:r w:rsidRPr="00CA400C">
        <w:rPr>
          <w:szCs w:val="20"/>
        </w:rPr>
        <w:t>The symptoms of head and neck cancers may include a lump or a sore that does not heal, a sore throat that does not go away, difficulty in swallowing, and a change or hoarseness in the voice. Site</w:t>
      </w:r>
      <w:r w:rsidR="00B25D32" w:rsidRPr="00CA400C">
        <w:rPr>
          <w:szCs w:val="20"/>
        </w:rPr>
        <w:noBreakHyphen/>
      </w:r>
      <w:r w:rsidRPr="00CA400C">
        <w:rPr>
          <w:szCs w:val="20"/>
        </w:rPr>
        <w:t>specific symptoms include a white or red patch on the gums, the tongue, or the lining of the mouth; a swelling of the jaw; difficulty speaking or breathing; headaches; ear pain; and difficulty hearing.</w:t>
      </w:r>
    </w:p>
    <w:p w14:paraId="7CA619F5" w14:textId="3E1A3BAE" w:rsidR="00314514" w:rsidRPr="00CA400C" w:rsidRDefault="00176C61" w:rsidP="00E357B9">
      <w:pPr>
        <w:ind w:left="426"/>
        <w:rPr>
          <w:szCs w:val="20"/>
        </w:rPr>
      </w:pPr>
      <w:r w:rsidRPr="00CA400C">
        <w:rPr>
          <w:szCs w:val="20"/>
        </w:rPr>
        <w:t xml:space="preserve">Treatment of Stage I or II tumours may be curative. </w:t>
      </w:r>
      <w:r w:rsidR="00C656B5" w:rsidRPr="00CA400C">
        <w:rPr>
          <w:szCs w:val="20"/>
        </w:rPr>
        <w:t>Left untreated, the tumours continue to grow and progress</w:t>
      </w:r>
      <w:r w:rsidR="00AE7057" w:rsidRPr="00CA400C">
        <w:rPr>
          <w:szCs w:val="20"/>
        </w:rPr>
        <w:t xml:space="preserve"> (</w:t>
      </w:r>
      <w:proofErr w:type="spellStart"/>
      <w:r w:rsidR="00AE7057" w:rsidRPr="00CA400C">
        <w:rPr>
          <w:szCs w:val="20"/>
        </w:rPr>
        <w:t>Deschler</w:t>
      </w:r>
      <w:proofErr w:type="spellEnd"/>
      <w:r w:rsidR="00AE7057" w:rsidRPr="00CA400C">
        <w:rPr>
          <w:szCs w:val="20"/>
        </w:rPr>
        <w:t xml:space="preserve"> et al 2014)</w:t>
      </w:r>
      <w:r w:rsidR="00C656B5" w:rsidRPr="00CA400C">
        <w:rPr>
          <w:szCs w:val="20"/>
        </w:rPr>
        <w:t>. Due to the location of the tumours, they can cause significant physical and functional impairment</w:t>
      </w:r>
      <w:r w:rsidR="00227805" w:rsidRPr="00CA400C">
        <w:rPr>
          <w:szCs w:val="20"/>
        </w:rPr>
        <w:t xml:space="preserve"> that can impact the patient’s health and quality of life. </w:t>
      </w:r>
      <w:r w:rsidRPr="00CA400C">
        <w:rPr>
          <w:szCs w:val="20"/>
        </w:rPr>
        <w:t>Survival rates fall as the tumours grow and metastasise</w:t>
      </w:r>
      <w:r w:rsidR="0005762E" w:rsidRPr="00CA400C">
        <w:rPr>
          <w:szCs w:val="20"/>
        </w:rPr>
        <w:t xml:space="preserve"> </w:t>
      </w:r>
      <w:r w:rsidR="0005762E" w:rsidRPr="00CA400C">
        <w:t xml:space="preserve">(Sanderson and </w:t>
      </w:r>
      <w:proofErr w:type="spellStart"/>
      <w:r w:rsidR="0005762E" w:rsidRPr="00CA400C">
        <w:t>Ironside</w:t>
      </w:r>
      <w:proofErr w:type="spellEnd"/>
      <w:r w:rsidR="0005762E" w:rsidRPr="00CA400C">
        <w:t xml:space="preserve"> 2002</w:t>
      </w:r>
      <w:r w:rsidR="00A44385" w:rsidRPr="00CA400C">
        <w:t xml:space="preserve">; </w:t>
      </w:r>
      <w:proofErr w:type="spellStart"/>
      <w:r w:rsidR="00A44385" w:rsidRPr="00CA400C">
        <w:t>Tinhofer</w:t>
      </w:r>
      <w:proofErr w:type="spellEnd"/>
      <w:r w:rsidR="00A44385" w:rsidRPr="00CA400C">
        <w:t xml:space="preserve"> et al 2016</w:t>
      </w:r>
      <w:r w:rsidR="0005762E" w:rsidRPr="00CA400C">
        <w:t>)</w:t>
      </w:r>
      <w:r w:rsidRPr="00CA400C">
        <w:rPr>
          <w:szCs w:val="20"/>
        </w:rPr>
        <w:t xml:space="preserve">. </w:t>
      </w:r>
    </w:p>
    <w:p w14:paraId="02F081CC" w14:textId="151A926F" w:rsidR="00117E40" w:rsidRPr="00CA400C" w:rsidRDefault="00172257" w:rsidP="00E357B9">
      <w:pPr>
        <w:ind w:left="426"/>
      </w:pPr>
      <w:r w:rsidRPr="00CA400C">
        <w:rPr>
          <w:szCs w:val="20"/>
        </w:rPr>
        <w:t>Although surgery and radiotherapy are the mainstay of treatment</w:t>
      </w:r>
      <w:r w:rsidR="00AE7057" w:rsidRPr="00CA400C">
        <w:rPr>
          <w:szCs w:val="20"/>
        </w:rPr>
        <w:t xml:space="preserve"> (</w:t>
      </w:r>
      <w:proofErr w:type="spellStart"/>
      <w:r w:rsidR="00AE7057" w:rsidRPr="00CA400C">
        <w:rPr>
          <w:szCs w:val="20"/>
        </w:rPr>
        <w:t>Deschler</w:t>
      </w:r>
      <w:proofErr w:type="spellEnd"/>
      <w:r w:rsidR="00AE7057" w:rsidRPr="00CA400C">
        <w:rPr>
          <w:szCs w:val="20"/>
        </w:rPr>
        <w:t xml:space="preserve"> et al 2014)</w:t>
      </w:r>
      <w:r w:rsidR="00C3449E" w:rsidRPr="00CA400C">
        <w:rPr>
          <w:szCs w:val="20"/>
        </w:rPr>
        <w:t xml:space="preserve">, </w:t>
      </w:r>
      <w:r w:rsidRPr="00CA400C">
        <w:rPr>
          <w:szCs w:val="20"/>
        </w:rPr>
        <w:t xml:space="preserve">the </w:t>
      </w:r>
      <w:r w:rsidR="003855CD" w:rsidRPr="00CA400C">
        <w:rPr>
          <w:szCs w:val="20"/>
        </w:rPr>
        <w:t xml:space="preserve">size and </w:t>
      </w:r>
      <w:r w:rsidRPr="00CA400C">
        <w:rPr>
          <w:szCs w:val="20"/>
        </w:rPr>
        <w:t>location of tumours may make surgery difficult and risky in some cases</w:t>
      </w:r>
      <w:r w:rsidR="003855CD" w:rsidRPr="00CA400C">
        <w:rPr>
          <w:szCs w:val="20"/>
        </w:rPr>
        <w:t>, especially as the disease progresses</w:t>
      </w:r>
      <w:r w:rsidRPr="00CA400C">
        <w:rPr>
          <w:szCs w:val="20"/>
        </w:rPr>
        <w:t xml:space="preserve">. Further, </w:t>
      </w:r>
      <w:r w:rsidR="00BE413B" w:rsidRPr="00CA400C">
        <w:rPr>
          <w:szCs w:val="20"/>
        </w:rPr>
        <w:t>resections</w:t>
      </w:r>
      <w:r w:rsidRPr="00CA400C">
        <w:rPr>
          <w:szCs w:val="20"/>
        </w:rPr>
        <w:t xml:space="preserve"> can be disfiguring. </w:t>
      </w:r>
      <w:r w:rsidR="003006C8" w:rsidRPr="00CA400C">
        <w:rPr>
          <w:szCs w:val="20"/>
        </w:rPr>
        <w:t xml:space="preserve">In advanced cases, surgery may not be possible. In recurrent cases, multiple surgeries or radiotherapies may be contraindicated because of the increased risks associated with </w:t>
      </w:r>
      <w:r w:rsidR="00865C05" w:rsidRPr="00CA400C">
        <w:rPr>
          <w:szCs w:val="20"/>
        </w:rPr>
        <w:t xml:space="preserve">scar tissue arising from </w:t>
      </w:r>
      <w:r w:rsidR="003006C8" w:rsidRPr="00CA400C">
        <w:rPr>
          <w:szCs w:val="20"/>
        </w:rPr>
        <w:t>operating in the same location.</w:t>
      </w:r>
      <w:r w:rsidR="00865C05" w:rsidRPr="00CA400C">
        <w:rPr>
          <w:szCs w:val="20"/>
        </w:rPr>
        <w:t xml:space="preserve"> </w:t>
      </w:r>
      <w:r w:rsidR="006223D1" w:rsidRPr="00CA400C">
        <w:t>When the disease has recurred or progressed to metastatic disease, treatment options are limited and are generally palliative</w:t>
      </w:r>
      <w:r w:rsidR="00117E40" w:rsidRPr="00CA400C">
        <w:t>.</w:t>
      </w:r>
    </w:p>
    <w:p w14:paraId="274965A1" w14:textId="77777777" w:rsidR="00855345" w:rsidRPr="00CA400C" w:rsidRDefault="00855345" w:rsidP="00E357B9">
      <w:pPr>
        <w:ind w:left="426"/>
        <w:rPr>
          <w:b/>
          <w:i/>
          <w:sz w:val="16"/>
          <w:szCs w:val="16"/>
        </w:rPr>
      </w:pPr>
      <w:r w:rsidRPr="00CA400C">
        <w:rPr>
          <w:b/>
          <w:i/>
          <w:sz w:val="16"/>
          <w:szCs w:val="16"/>
        </w:rPr>
        <w:t>References</w:t>
      </w:r>
    </w:p>
    <w:p w14:paraId="45CC9812" w14:textId="77777777" w:rsidR="00855345" w:rsidRPr="00CA400C" w:rsidRDefault="00855345" w:rsidP="00855345">
      <w:pPr>
        <w:ind w:left="426"/>
        <w:rPr>
          <w:sz w:val="16"/>
          <w:szCs w:val="16"/>
        </w:rPr>
      </w:pPr>
      <w:proofErr w:type="gramStart"/>
      <w:r w:rsidRPr="00CA400C">
        <w:rPr>
          <w:sz w:val="16"/>
          <w:szCs w:val="16"/>
        </w:rPr>
        <w:t>Australian Institute of Health and Welfare 2017.</w:t>
      </w:r>
      <w:proofErr w:type="gramEnd"/>
      <w:r w:rsidRPr="00CA400C">
        <w:rPr>
          <w:sz w:val="16"/>
          <w:szCs w:val="16"/>
        </w:rPr>
        <w:t xml:space="preserve"> </w:t>
      </w:r>
      <w:proofErr w:type="gramStart"/>
      <w:r w:rsidRPr="00CA400C">
        <w:rPr>
          <w:sz w:val="16"/>
          <w:szCs w:val="16"/>
        </w:rPr>
        <w:t>Cancer in Australia 2017.</w:t>
      </w:r>
      <w:proofErr w:type="gramEnd"/>
      <w:r w:rsidRPr="00CA400C">
        <w:rPr>
          <w:sz w:val="16"/>
          <w:szCs w:val="16"/>
        </w:rPr>
        <w:t xml:space="preserve"> </w:t>
      </w:r>
      <w:proofErr w:type="gramStart"/>
      <w:r w:rsidRPr="00CA400C">
        <w:rPr>
          <w:sz w:val="16"/>
          <w:szCs w:val="16"/>
        </w:rPr>
        <w:t>Cancer series no.101.</w:t>
      </w:r>
      <w:proofErr w:type="gramEnd"/>
      <w:r w:rsidRPr="00CA400C">
        <w:rPr>
          <w:sz w:val="16"/>
          <w:szCs w:val="16"/>
        </w:rPr>
        <w:t xml:space="preserve"> Cat. </w:t>
      </w:r>
      <w:proofErr w:type="gramStart"/>
      <w:r w:rsidRPr="00CA400C">
        <w:rPr>
          <w:sz w:val="16"/>
          <w:szCs w:val="16"/>
        </w:rPr>
        <w:t>no</w:t>
      </w:r>
      <w:proofErr w:type="gramEnd"/>
      <w:r w:rsidRPr="00CA400C">
        <w:rPr>
          <w:sz w:val="16"/>
          <w:szCs w:val="16"/>
        </w:rPr>
        <w:t>. CAN 100. Canberra: AIHW.</w:t>
      </w:r>
    </w:p>
    <w:p w14:paraId="54F2D3ED" w14:textId="77777777" w:rsidR="00855345" w:rsidRPr="00CA400C" w:rsidRDefault="00855345" w:rsidP="00855345">
      <w:pPr>
        <w:ind w:left="426"/>
        <w:rPr>
          <w:sz w:val="16"/>
          <w:szCs w:val="16"/>
        </w:rPr>
      </w:pPr>
      <w:proofErr w:type="spellStart"/>
      <w:r w:rsidRPr="00CA400C">
        <w:rPr>
          <w:sz w:val="16"/>
          <w:szCs w:val="16"/>
        </w:rPr>
        <w:t>Deschler</w:t>
      </w:r>
      <w:proofErr w:type="spellEnd"/>
      <w:r w:rsidRPr="00CA400C">
        <w:rPr>
          <w:sz w:val="16"/>
          <w:szCs w:val="16"/>
        </w:rPr>
        <w:t xml:space="preserve"> DG, Moore MG, Smith RV, eds. Quick Reference Guide to TNM Staging of Head and Neck Cancer and Neck Dissection Classification, 4th ed. Alexandria, VA: American Academy of Otolaryngology–Head and Neck Surgery Foundation, 2014.</w:t>
      </w:r>
    </w:p>
    <w:p w14:paraId="02B9041E" w14:textId="4194E7A3" w:rsidR="004226E7" w:rsidRPr="00CA400C" w:rsidRDefault="004226E7" w:rsidP="004226E7">
      <w:pPr>
        <w:ind w:left="426"/>
        <w:rPr>
          <w:sz w:val="16"/>
          <w:szCs w:val="16"/>
        </w:rPr>
      </w:pPr>
      <w:proofErr w:type="spellStart"/>
      <w:r w:rsidRPr="00CA400C">
        <w:rPr>
          <w:sz w:val="16"/>
          <w:szCs w:val="16"/>
        </w:rPr>
        <w:t>Economopoulou</w:t>
      </w:r>
      <w:proofErr w:type="spellEnd"/>
      <w:r w:rsidRPr="00CA400C">
        <w:rPr>
          <w:sz w:val="16"/>
          <w:szCs w:val="16"/>
        </w:rPr>
        <w:t xml:space="preserve"> P et al. The emerging role of immunotherapy in head and neck squamous cell carcinoma (HNSCC): anti</w:t>
      </w:r>
      <w:r w:rsidR="00B25D32" w:rsidRPr="00CA400C">
        <w:rPr>
          <w:sz w:val="16"/>
          <w:szCs w:val="16"/>
        </w:rPr>
        <w:noBreakHyphen/>
      </w:r>
      <w:proofErr w:type="spellStart"/>
      <w:r w:rsidRPr="00CA400C">
        <w:rPr>
          <w:sz w:val="16"/>
          <w:szCs w:val="16"/>
        </w:rPr>
        <w:t>tumor</w:t>
      </w:r>
      <w:proofErr w:type="spellEnd"/>
      <w:r w:rsidRPr="00CA400C">
        <w:rPr>
          <w:sz w:val="16"/>
          <w:szCs w:val="16"/>
        </w:rPr>
        <w:t xml:space="preserve"> immunity and clinical applications. Ann </w:t>
      </w:r>
      <w:proofErr w:type="spellStart"/>
      <w:r w:rsidRPr="00CA400C">
        <w:rPr>
          <w:sz w:val="16"/>
          <w:szCs w:val="16"/>
        </w:rPr>
        <w:t>Transl</w:t>
      </w:r>
      <w:proofErr w:type="spellEnd"/>
      <w:r w:rsidRPr="00CA400C">
        <w:rPr>
          <w:sz w:val="16"/>
          <w:szCs w:val="16"/>
        </w:rPr>
        <w:t xml:space="preserve"> Med 2016; 4(9): 173. DOI: 10.21037/atm.2016.03.34.</w:t>
      </w:r>
    </w:p>
    <w:p w14:paraId="0EDF9E49" w14:textId="77777777" w:rsidR="00855345" w:rsidRPr="00CA400C" w:rsidRDefault="00855345" w:rsidP="00855345">
      <w:pPr>
        <w:ind w:left="426"/>
        <w:rPr>
          <w:sz w:val="16"/>
          <w:szCs w:val="16"/>
        </w:rPr>
      </w:pPr>
      <w:proofErr w:type="gramStart"/>
      <w:r w:rsidRPr="00CA400C">
        <w:rPr>
          <w:sz w:val="16"/>
          <w:szCs w:val="16"/>
        </w:rPr>
        <w:t xml:space="preserve">Sanderson RJ and </w:t>
      </w:r>
      <w:proofErr w:type="spellStart"/>
      <w:r w:rsidRPr="00CA400C">
        <w:rPr>
          <w:sz w:val="16"/>
          <w:szCs w:val="16"/>
        </w:rPr>
        <w:t>Ironside</w:t>
      </w:r>
      <w:proofErr w:type="spellEnd"/>
      <w:r w:rsidRPr="00CA400C">
        <w:rPr>
          <w:sz w:val="16"/>
          <w:szCs w:val="16"/>
        </w:rPr>
        <w:t xml:space="preserve"> JAD.</w:t>
      </w:r>
      <w:proofErr w:type="gramEnd"/>
      <w:r w:rsidRPr="00CA400C">
        <w:rPr>
          <w:sz w:val="16"/>
          <w:szCs w:val="16"/>
        </w:rPr>
        <w:t xml:space="preserve"> </w:t>
      </w:r>
      <w:proofErr w:type="gramStart"/>
      <w:r w:rsidRPr="00CA400C">
        <w:rPr>
          <w:sz w:val="16"/>
          <w:szCs w:val="16"/>
        </w:rPr>
        <w:t>Squamous cell carcinomas of the head and neck.</w:t>
      </w:r>
      <w:proofErr w:type="gramEnd"/>
      <w:r w:rsidRPr="00CA400C">
        <w:rPr>
          <w:sz w:val="16"/>
          <w:szCs w:val="16"/>
        </w:rPr>
        <w:t xml:space="preserve"> BMJ 2002;</w:t>
      </w:r>
      <w:r w:rsidR="00EF10A0" w:rsidRPr="00CA400C">
        <w:rPr>
          <w:sz w:val="16"/>
          <w:szCs w:val="16"/>
        </w:rPr>
        <w:t xml:space="preserve"> </w:t>
      </w:r>
      <w:r w:rsidRPr="00CA400C">
        <w:rPr>
          <w:sz w:val="16"/>
          <w:szCs w:val="16"/>
        </w:rPr>
        <w:t>325:</w:t>
      </w:r>
      <w:r w:rsidR="00EF10A0" w:rsidRPr="00CA400C">
        <w:rPr>
          <w:sz w:val="16"/>
          <w:szCs w:val="16"/>
        </w:rPr>
        <w:t xml:space="preserve"> </w:t>
      </w:r>
      <w:r w:rsidRPr="00CA400C">
        <w:rPr>
          <w:sz w:val="16"/>
          <w:szCs w:val="16"/>
        </w:rPr>
        <w:t>822–827.</w:t>
      </w:r>
    </w:p>
    <w:p w14:paraId="33C81084" w14:textId="2B4C2EA6" w:rsidR="00855345" w:rsidRPr="00CA400C" w:rsidRDefault="00855345" w:rsidP="00855345">
      <w:pPr>
        <w:ind w:left="426"/>
        <w:rPr>
          <w:sz w:val="16"/>
          <w:szCs w:val="16"/>
        </w:rPr>
      </w:pPr>
      <w:proofErr w:type="spellStart"/>
      <w:proofErr w:type="gramStart"/>
      <w:r w:rsidRPr="00CA400C">
        <w:rPr>
          <w:sz w:val="16"/>
          <w:szCs w:val="16"/>
        </w:rPr>
        <w:t>Tinhofer</w:t>
      </w:r>
      <w:proofErr w:type="spellEnd"/>
      <w:r w:rsidRPr="00CA400C">
        <w:rPr>
          <w:sz w:val="16"/>
          <w:szCs w:val="16"/>
        </w:rPr>
        <w:t xml:space="preserve"> I et al.</w:t>
      </w:r>
      <w:proofErr w:type="gramEnd"/>
      <w:r w:rsidRPr="00CA400C">
        <w:rPr>
          <w:sz w:val="16"/>
          <w:szCs w:val="16"/>
        </w:rPr>
        <w:t xml:space="preserve"> </w:t>
      </w:r>
      <w:proofErr w:type="gramStart"/>
      <w:r w:rsidRPr="00CA400C">
        <w:rPr>
          <w:sz w:val="16"/>
          <w:szCs w:val="16"/>
        </w:rPr>
        <w:t>The rationale for including immune checkpoint inhibition into multimodal primary treatment concepts of head and neck cancer.</w:t>
      </w:r>
      <w:proofErr w:type="gramEnd"/>
      <w:r w:rsidRPr="00CA400C">
        <w:rPr>
          <w:sz w:val="16"/>
          <w:szCs w:val="16"/>
        </w:rPr>
        <w:t xml:space="preserve"> Cancers of the Head &amp; Neck 2016; 1:8. </w:t>
      </w:r>
      <w:proofErr w:type="gramStart"/>
      <w:r w:rsidRPr="00CA400C">
        <w:rPr>
          <w:sz w:val="16"/>
          <w:szCs w:val="16"/>
        </w:rPr>
        <w:t>DOI 10.1186/s41199</w:t>
      </w:r>
      <w:r w:rsidR="00B25D32" w:rsidRPr="00CA400C">
        <w:rPr>
          <w:sz w:val="16"/>
          <w:szCs w:val="16"/>
        </w:rPr>
        <w:noBreakHyphen/>
      </w:r>
      <w:r w:rsidRPr="00CA400C">
        <w:rPr>
          <w:sz w:val="16"/>
          <w:szCs w:val="16"/>
        </w:rPr>
        <w:t>016</w:t>
      </w:r>
      <w:r w:rsidR="00B25D32" w:rsidRPr="00CA400C">
        <w:rPr>
          <w:sz w:val="16"/>
          <w:szCs w:val="16"/>
        </w:rPr>
        <w:noBreakHyphen/>
      </w:r>
      <w:r w:rsidRPr="00CA400C">
        <w:rPr>
          <w:sz w:val="16"/>
          <w:szCs w:val="16"/>
        </w:rPr>
        <w:t>0009</w:t>
      </w:r>
      <w:r w:rsidR="00B25D32" w:rsidRPr="00CA400C">
        <w:rPr>
          <w:sz w:val="16"/>
          <w:szCs w:val="16"/>
        </w:rPr>
        <w:noBreakHyphen/>
      </w:r>
      <w:r w:rsidRPr="00CA400C">
        <w:rPr>
          <w:sz w:val="16"/>
          <w:szCs w:val="16"/>
        </w:rPr>
        <w:t>6.</w:t>
      </w:r>
      <w:proofErr w:type="gramEnd"/>
    </w:p>
    <w:p w14:paraId="1AE71DE0" w14:textId="77777777" w:rsidR="00AA5FDA" w:rsidRPr="00CA400C" w:rsidRDefault="00AA5FDA" w:rsidP="00530204">
      <w:pPr>
        <w:pStyle w:val="Heading2"/>
      </w:pPr>
      <w:r w:rsidRPr="00CA400C">
        <w:t>Specify any characteristics of patients with the medical condition</w:t>
      </w:r>
      <w:r w:rsidR="00707D4D" w:rsidRPr="00CA400C">
        <w:t>, or suspected of,</w:t>
      </w:r>
      <w:r w:rsidRPr="00CA400C">
        <w:t xml:space="preserve"> who are proposed to be eligible for the proposed medical service</w:t>
      </w:r>
      <w:r w:rsidR="00102686" w:rsidRPr="00CA400C">
        <w:t>, including any details of how a patient w</w:t>
      </w:r>
      <w:r w:rsidR="0054594B" w:rsidRPr="00CA400C">
        <w:t>ould be</w:t>
      </w:r>
      <w:r w:rsidR="00102686" w:rsidRPr="00CA400C">
        <w:t xml:space="preserve"> </w:t>
      </w:r>
      <w:r w:rsidR="0018630F" w:rsidRPr="00CA400C">
        <w:t>investigated</w:t>
      </w:r>
      <w:r w:rsidR="0054594B" w:rsidRPr="00CA400C">
        <w:t>,</w:t>
      </w:r>
      <w:r w:rsidR="0018630F" w:rsidRPr="00CA400C">
        <w:t xml:space="preserve"> managed </w:t>
      </w:r>
      <w:r w:rsidR="0054594B" w:rsidRPr="00CA400C">
        <w:t xml:space="preserve">and referred </w:t>
      </w:r>
      <w:r w:rsidR="007D2358" w:rsidRPr="00CA400C">
        <w:t xml:space="preserve">within the Australian health care system </w:t>
      </w:r>
      <w:r w:rsidR="0018630F" w:rsidRPr="00CA400C">
        <w:t xml:space="preserve">in the lead up to being considered </w:t>
      </w:r>
      <w:r w:rsidR="00DF6D37" w:rsidRPr="00CA400C">
        <w:t xml:space="preserve">eligible </w:t>
      </w:r>
      <w:r w:rsidR="0018630F" w:rsidRPr="00CA400C">
        <w:t>for the service</w:t>
      </w:r>
      <w:r w:rsidR="00197D29" w:rsidRPr="00CA400C">
        <w:t>:</w:t>
      </w:r>
    </w:p>
    <w:p w14:paraId="34C3359B" w14:textId="2CDDFE06" w:rsidR="00565012" w:rsidRPr="00CA400C" w:rsidRDefault="00565012" w:rsidP="00565012">
      <w:pPr>
        <w:ind w:left="426"/>
      </w:pPr>
      <w:r w:rsidRPr="00CA400C">
        <w:rPr>
          <w:szCs w:val="20"/>
        </w:rPr>
        <w:t>It is proposed that PD</w:t>
      </w:r>
      <w:r w:rsidRPr="00CA400C">
        <w:rPr>
          <w:szCs w:val="20"/>
        </w:rPr>
        <w:noBreakHyphen/>
        <w:t xml:space="preserve">L1 testing be reimbursed for patients with unresectable recurrent or metastatic SCCHN, to allow PBS access to </w:t>
      </w:r>
      <w:proofErr w:type="spellStart"/>
      <w:r w:rsidRPr="00CA400C">
        <w:rPr>
          <w:szCs w:val="20"/>
        </w:rPr>
        <w:t>durvalumab</w:t>
      </w:r>
      <w:proofErr w:type="spellEnd"/>
      <w:r w:rsidRPr="00CA400C">
        <w:rPr>
          <w:szCs w:val="20"/>
        </w:rPr>
        <w:t xml:space="preserve"> monotherapy or </w:t>
      </w:r>
      <w:proofErr w:type="spellStart"/>
      <w:r w:rsidRPr="00CA400C">
        <w:rPr>
          <w:szCs w:val="20"/>
        </w:rPr>
        <w:t>durvalumab</w:t>
      </w:r>
      <w:proofErr w:type="spellEnd"/>
      <w:r w:rsidRPr="00CA400C">
        <w:rPr>
          <w:szCs w:val="20"/>
        </w:rPr>
        <w:t>/</w:t>
      </w:r>
      <w:proofErr w:type="spellStart"/>
      <w:r w:rsidRPr="00CA400C">
        <w:rPr>
          <w:szCs w:val="20"/>
        </w:rPr>
        <w:t>tremelimumab</w:t>
      </w:r>
      <w:proofErr w:type="spellEnd"/>
      <w:r w:rsidRPr="00CA400C">
        <w:rPr>
          <w:szCs w:val="20"/>
        </w:rPr>
        <w:t xml:space="preserve"> combination therapy either as first</w:t>
      </w:r>
      <w:r w:rsidRPr="00CA400C">
        <w:rPr>
          <w:szCs w:val="20"/>
        </w:rPr>
        <w:noBreakHyphen/>
        <w:t>line therapy or as second</w:t>
      </w:r>
      <w:r w:rsidRPr="00CA400C">
        <w:rPr>
          <w:szCs w:val="20"/>
        </w:rPr>
        <w:noBreakHyphen/>
        <w:t>line therapy for those whose disease has progressed while on or shortly after receiving platinum chemotherapy. Although studies are ongoing, i</w:t>
      </w:r>
      <w:r w:rsidRPr="00CA400C">
        <w:t>t is expected that PD</w:t>
      </w:r>
      <w:r w:rsidRPr="00CA400C">
        <w:noBreakHyphen/>
        <w:t>L1 testing will determine the most appropriate clinical pathway for individual patients.</w:t>
      </w:r>
    </w:p>
    <w:p w14:paraId="538B947A" w14:textId="26AC2024" w:rsidR="004C3544" w:rsidRPr="00CA400C" w:rsidRDefault="00565012" w:rsidP="00565012">
      <w:pPr>
        <w:ind w:left="426"/>
      </w:pPr>
      <w:r w:rsidRPr="00CA400C">
        <w:rPr>
          <w:szCs w:val="20"/>
        </w:rPr>
        <w:lastRenderedPageBreak/>
        <w:t>The Sponsor anticipates that</w:t>
      </w:r>
      <w:r w:rsidRPr="00CA400C">
        <w:t xml:space="preserve"> patients with a high PD</w:t>
      </w:r>
      <w:r w:rsidRPr="00CA400C">
        <w:noBreakHyphen/>
        <w:t>L1 expression rate (those with a PD</w:t>
      </w:r>
      <w:r w:rsidRPr="00CA400C">
        <w:noBreakHyphen/>
        <w:t>L1 rate ≥25%) are likely to respond well to monotherapy with the PD</w:t>
      </w:r>
      <w:r w:rsidRPr="00CA400C">
        <w:noBreakHyphen/>
      </w:r>
      <w:r w:rsidR="00264C65" w:rsidRPr="00CA400C">
        <w:t xml:space="preserve">L1 inhibitor </w:t>
      </w:r>
      <w:proofErr w:type="spellStart"/>
      <w:r w:rsidR="00264C65" w:rsidRPr="00CA400C">
        <w:t>durvalumab</w:t>
      </w:r>
      <w:proofErr w:type="spellEnd"/>
      <w:r w:rsidR="00264C65" w:rsidRPr="00CA400C">
        <w:t>;</w:t>
      </w:r>
      <w:r w:rsidRPr="00CA400C">
        <w:t xml:space="preserve"> patients whose tumours express a lower PD</w:t>
      </w:r>
      <w:r w:rsidRPr="00CA400C">
        <w:noBreakHyphen/>
        <w:t>L1 expression rate (a PD</w:t>
      </w:r>
      <w:r w:rsidRPr="00CA400C">
        <w:noBreakHyphen/>
        <w:t xml:space="preserve">L1 rate &lt;25%) </w:t>
      </w:r>
      <w:r w:rsidR="00264C65" w:rsidRPr="00CA400C">
        <w:t>are expected to</w:t>
      </w:r>
      <w:r w:rsidRPr="00CA400C">
        <w:t xml:space="preserve"> respond better to </w:t>
      </w:r>
      <w:proofErr w:type="spellStart"/>
      <w:r w:rsidR="00264C65" w:rsidRPr="00CA400C">
        <w:t>durvalumab</w:t>
      </w:r>
      <w:proofErr w:type="spellEnd"/>
      <w:r w:rsidR="00264C65" w:rsidRPr="00CA400C">
        <w:t>/</w:t>
      </w:r>
      <w:proofErr w:type="spellStart"/>
      <w:r w:rsidRPr="00CA400C">
        <w:t>tremelimumab</w:t>
      </w:r>
      <w:proofErr w:type="spellEnd"/>
      <w:r w:rsidRPr="00CA400C">
        <w:t xml:space="preserve"> combination therapy. </w:t>
      </w:r>
      <w:r w:rsidRPr="00CA400C">
        <w:rPr>
          <w:szCs w:val="20"/>
        </w:rPr>
        <w:t>Therefore, rather than PD</w:t>
      </w:r>
      <w:r w:rsidRPr="00CA400C">
        <w:rPr>
          <w:szCs w:val="20"/>
        </w:rPr>
        <w:noBreakHyphen/>
        <w:t>L1 testing being used to exclude patients with lower PD</w:t>
      </w:r>
      <w:r w:rsidRPr="00CA400C">
        <w:rPr>
          <w:szCs w:val="20"/>
        </w:rPr>
        <w:noBreakHyphen/>
        <w:t>L1 expression rates from treatment, PD</w:t>
      </w:r>
      <w:r w:rsidRPr="00CA400C">
        <w:rPr>
          <w:szCs w:val="20"/>
        </w:rPr>
        <w:noBreakHyphen/>
        <w:t>L1 testing will likely inform which therapeutic pathway (mono</w:t>
      </w:r>
      <w:r w:rsidRPr="00CA400C">
        <w:rPr>
          <w:szCs w:val="20"/>
        </w:rPr>
        <w:noBreakHyphen/>
        <w:t xml:space="preserve"> or combination therapy) is most appropriate for individual patients.</w:t>
      </w:r>
    </w:p>
    <w:p w14:paraId="4CD97D38" w14:textId="4982681B" w:rsidR="00297B95" w:rsidRPr="00CA400C" w:rsidRDefault="00297B95" w:rsidP="00297B95">
      <w:pPr>
        <w:ind w:left="426"/>
        <w:rPr>
          <w:szCs w:val="20"/>
        </w:rPr>
      </w:pPr>
      <w:r w:rsidRPr="00CA400C">
        <w:rPr>
          <w:szCs w:val="20"/>
        </w:rPr>
        <w:t>The test itself involves analysing tissue collected from a biopsy of the tumour to determine the rate of PD</w:t>
      </w:r>
      <w:r w:rsidR="00B25D32" w:rsidRPr="00CA400C">
        <w:rPr>
          <w:szCs w:val="20"/>
        </w:rPr>
        <w:noBreakHyphen/>
      </w:r>
      <w:r w:rsidRPr="00CA400C">
        <w:rPr>
          <w:szCs w:val="20"/>
        </w:rPr>
        <w:t xml:space="preserve">L1 expression on the tumour cell surface. The biopsy will be collected </w:t>
      </w:r>
      <w:r w:rsidR="00264C65" w:rsidRPr="00CA400C">
        <w:rPr>
          <w:szCs w:val="20"/>
        </w:rPr>
        <w:t xml:space="preserve">predominantly </w:t>
      </w:r>
      <w:r w:rsidRPr="00CA400C">
        <w:rPr>
          <w:szCs w:val="20"/>
        </w:rPr>
        <w:t>by a medical oncologist. The testing will be undertaken by a</w:t>
      </w:r>
      <w:r w:rsidR="00883333" w:rsidRPr="00CA400C">
        <w:rPr>
          <w:szCs w:val="20"/>
        </w:rPr>
        <w:t>n anatomical</w:t>
      </w:r>
      <w:r w:rsidRPr="00CA400C">
        <w:rPr>
          <w:szCs w:val="20"/>
        </w:rPr>
        <w:t xml:space="preserve"> pathologist, most likely alongside other histopathology tests.</w:t>
      </w:r>
    </w:p>
    <w:p w14:paraId="4EA5BBDD" w14:textId="34CB1671" w:rsidR="001333E8" w:rsidRPr="00CA400C" w:rsidRDefault="000447E2" w:rsidP="00E357B9">
      <w:pPr>
        <w:ind w:left="426"/>
        <w:rPr>
          <w:szCs w:val="20"/>
        </w:rPr>
      </w:pPr>
      <w:r w:rsidRPr="00CA400C">
        <w:rPr>
          <w:szCs w:val="20"/>
        </w:rPr>
        <w:t xml:space="preserve">An </w:t>
      </w:r>
      <w:proofErr w:type="spellStart"/>
      <w:r w:rsidRPr="00CA400C">
        <w:rPr>
          <w:szCs w:val="20"/>
        </w:rPr>
        <w:t>immunohistochemical</w:t>
      </w:r>
      <w:proofErr w:type="spellEnd"/>
      <w:r w:rsidRPr="00CA400C">
        <w:rPr>
          <w:szCs w:val="20"/>
        </w:rPr>
        <w:t xml:space="preserve"> (IHC) assay forms the basis of PD</w:t>
      </w:r>
      <w:r w:rsidR="00B25D32" w:rsidRPr="00CA400C">
        <w:rPr>
          <w:szCs w:val="20"/>
        </w:rPr>
        <w:noBreakHyphen/>
      </w:r>
      <w:r w:rsidRPr="00CA400C">
        <w:rPr>
          <w:szCs w:val="20"/>
        </w:rPr>
        <w:t xml:space="preserve">L1 testing. IHC testing is a common practice in Australian pathology laboratories. </w:t>
      </w:r>
    </w:p>
    <w:p w14:paraId="4724E40D" w14:textId="77777777" w:rsidR="0018630F" w:rsidRPr="00CA400C" w:rsidRDefault="0018630F" w:rsidP="00530204">
      <w:pPr>
        <w:pStyle w:val="Heading2"/>
      </w:pPr>
      <w:r w:rsidRPr="00CA400C">
        <w:t xml:space="preserve">Define and summarise the current clinical management pathway </w:t>
      </w:r>
      <w:r w:rsidRPr="00CA400C">
        <w:rPr>
          <w:i/>
        </w:rPr>
        <w:t>before</w:t>
      </w:r>
      <w:r w:rsidRPr="00CA400C">
        <w:t xml:space="preserve"> patients would be eligible for the proposed medical service (supplement this summary with </w:t>
      </w:r>
      <w:r w:rsidR="00F33F1A" w:rsidRPr="00CA400C">
        <w:t xml:space="preserve">an easy to follow flowchart </w:t>
      </w:r>
      <w:r w:rsidR="00DF0C51" w:rsidRPr="00CA400C">
        <w:t xml:space="preserve">[as an attachment to the Application Form] </w:t>
      </w:r>
      <w:r w:rsidR="00F33F1A" w:rsidRPr="00CA400C">
        <w:t>dep</w:t>
      </w:r>
      <w:r w:rsidRPr="00CA400C">
        <w:t>icting the current clinical manag</w:t>
      </w:r>
      <w:r w:rsidR="00197D29" w:rsidRPr="00CA400C">
        <w:t>ement pathway up to this point):</w:t>
      </w:r>
    </w:p>
    <w:p w14:paraId="2F9840B7" w14:textId="178B5770" w:rsidR="00190FE5" w:rsidRPr="00CA400C" w:rsidRDefault="00190FE5" w:rsidP="00D73646">
      <w:pPr>
        <w:ind w:left="426"/>
      </w:pPr>
      <w:r w:rsidRPr="00CA400C">
        <w:t xml:space="preserve">Currently, patients with unresectable recurrent or metastatic disease do not undergo PD-L1 testing and are provided with palliative chemotherapy-based regimens as both a first- and second line of treatment. Which treatment or combination of treatments they receive will depend on their general state of health, and what they have previously been given. A broader discussion of the current treatment algorithm is provided in the response to question 41. A discussion of the anticipated changes to the current treatment algorithm following </w:t>
      </w:r>
      <w:r w:rsidR="00CC289A" w:rsidRPr="00CA400C">
        <w:t xml:space="preserve">MBS </w:t>
      </w:r>
      <w:r w:rsidRPr="00CA400C">
        <w:t xml:space="preserve">funding of PD-L1 testing and </w:t>
      </w:r>
      <w:r w:rsidR="00CC289A" w:rsidRPr="00CA400C">
        <w:t xml:space="preserve">PBS reimbursement of </w:t>
      </w:r>
      <w:proofErr w:type="spellStart"/>
      <w:r w:rsidRPr="00CA400C">
        <w:t>durvalumab</w:t>
      </w:r>
      <w:proofErr w:type="spellEnd"/>
      <w:r w:rsidRPr="00CA400C">
        <w:t xml:space="preserve"> ± </w:t>
      </w:r>
      <w:proofErr w:type="spellStart"/>
      <w:r w:rsidRPr="00CA400C">
        <w:t>tremelimumab</w:t>
      </w:r>
      <w:proofErr w:type="spellEnd"/>
      <w:r w:rsidRPr="00CA400C">
        <w:t xml:space="preserve"> is provided in </w:t>
      </w:r>
      <w:r w:rsidR="00CC289A" w:rsidRPr="00CA400C">
        <w:t>the response to question 43</w:t>
      </w:r>
      <w:r w:rsidRPr="00CA400C">
        <w:t xml:space="preserve">. </w:t>
      </w:r>
    </w:p>
    <w:p w14:paraId="216C37AC" w14:textId="77777777" w:rsidR="002A50FD" w:rsidRPr="00CA400C" w:rsidRDefault="005C3AE7" w:rsidP="005C3AE7">
      <w:pPr>
        <w:pStyle w:val="Subtitle"/>
      </w:pPr>
      <w:r w:rsidRPr="00CA400C">
        <w:t xml:space="preserve">PART 6b – </w:t>
      </w:r>
      <w:r w:rsidR="002A50FD" w:rsidRPr="00CA400C">
        <w:t>INFORMATION ABOUT THE INTERVENTION</w:t>
      </w:r>
    </w:p>
    <w:p w14:paraId="4FA0799B" w14:textId="77777777" w:rsidR="002A50FD" w:rsidRPr="00CA400C" w:rsidRDefault="002A6753" w:rsidP="00530204">
      <w:pPr>
        <w:pStyle w:val="Heading2"/>
      </w:pPr>
      <w:r w:rsidRPr="00CA400C">
        <w:t xml:space="preserve">Describe the </w:t>
      </w:r>
      <w:r w:rsidR="00DF6D37" w:rsidRPr="00CA400C">
        <w:t>key components and</w:t>
      </w:r>
      <w:r w:rsidR="00B771AD" w:rsidRPr="00CA400C">
        <w:t xml:space="preserve"> clinical</w:t>
      </w:r>
      <w:r w:rsidR="00DF6D37" w:rsidRPr="00CA400C">
        <w:t xml:space="preserve"> steps involved in delivering </w:t>
      </w:r>
      <w:r w:rsidR="00C05A45" w:rsidRPr="00CA400C">
        <w:t xml:space="preserve">the </w:t>
      </w:r>
      <w:r w:rsidR="00197D29" w:rsidRPr="00CA400C">
        <w:t>proposed medical service:</w:t>
      </w:r>
    </w:p>
    <w:p w14:paraId="5A660B05" w14:textId="3E5A10B6" w:rsidR="00C05B93" w:rsidRPr="00CA400C" w:rsidRDefault="00C05B93" w:rsidP="00C05B93">
      <w:pPr>
        <w:ind w:left="426"/>
        <w:rPr>
          <w:i/>
        </w:rPr>
      </w:pPr>
      <w:r w:rsidRPr="00CA400C">
        <w:rPr>
          <w:i/>
        </w:rPr>
        <w:t>Targeting PD</w:t>
      </w:r>
      <w:r w:rsidR="00B25D32" w:rsidRPr="00CA400C">
        <w:rPr>
          <w:i/>
        </w:rPr>
        <w:noBreakHyphen/>
      </w:r>
      <w:r w:rsidRPr="00CA400C">
        <w:rPr>
          <w:i/>
        </w:rPr>
        <w:t>L1</w:t>
      </w:r>
    </w:p>
    <w:p w14:paraId="17C1A53F" w14:textId="14AE46F1" w:rsidR="00C05B93" w:rsidRPr="00CA400C" w:rsidRDefault="00C05B93" w:rsidP="00C05B93">
      <w:pPr>
        <w:ind w:left="426"/>
      </w:pPr>
      <w:r w:rsidRPr="00CA400C">
        <w:t>PD</w:t>
      </w:r>
      <w:r w:rsidR="00B25D32" w:rsidRPr="00CA400C">
        <w:noBreakHyphen/>
      </w:r>
      <w:r w:rsidRPr="00CA400C">
        <w:t>L1 is expressed in a broad range of cancers with a high frequency, up to 88% in some types of cancers</w:t>
      </w:r>
      <w:r w:rsidR="00FE74EC" w:rsidRPr="00CA400C">
        <w:t xml:space="preserve">. </w:t>
      </w:r>
      <w:r w:rsidRPr="00CA400C">
        <w:t>In patients with SCCHN, higher PD</w:t>
      </w:r>
      <w:r w:rsidR="00B25D32" w:rsidRPr="00CA400C">
        <w:noBreakHyphen/>
      </w:r>
      <w:r w:rsidRPr="00CA400C">
        <w:t>L1 expression is associated with an unfavourable prognosis (Lin et al 2015)</w:t>
      </w:r>
      <w:r w:rsidR="00B41065" w:rsidRPr="00CA400C">
        <w:t>,</w:t>
      </w:r>
      <w:r w:rsidRPr="00CA400C">
        <w:t xml:space="preserve"> suggest</w:t>
      </w:r>
      <w:r w:rsidR="00B41065" w:rsidRPr="00CA400C">
        <w:t>ing</w:t>
      </w:r>
      <w:r w:rsidRPr="00CA400C">
        <w:t xml:space="preserve"> that the degree of PD</w:t>
      </w:r>
      <w:r w:rsidR="00B25D32" w:rsidRPr="00CA400C">
        <w:noBreakHyphen/>
      </w:r>
      <w:r w:rsidRPr="00CA400C">
        <w:t>L1 expression is an important prognostic marker in the management of SCCHN.</w:t>
      </w:r>
    </w:p>
    <w:p w14:paraId="7AED20F9" w14:textId="067C1E5C" w:rsidR="009C10DF" w:rsidRPr="00CA400C" w:rsidRDefault="009C10DF" w:rsidP="009C10DF">
      <w:pPr>
        <w:ind w:left="426"/>
        <w:rPr>
          <w:i/>
        </w:rPr>
      </w:pPr>
      <w:r w:rsidRPr="00CA400C">
        <w:rPr>
          <w:i/>
        </w:rPr>
        <w:t>PD</w:t>
      </w:r>
      <w:r w:rsidR="00B25D32" w:rsidRPr="00CA400C">
        <w:rPr>
          <w:i/>
        </w:rPr>
        <w:noBreakHyphen/>
      </w:r>
      <w:r w:rsidRPr="00CA400C">
        <w:rPr>
          <w:i/>
        </w:rPr>
        <w:t>L1 testing</w:t>
      </w:r>
    </w:p>
    <w:p w14:paraId="7616EE69" w14:textId="262BA3E3" w:rsidR="009C10DF" w:rsidRPr="00CA400C" w:rsidRDefault="009C10DF" w:rsidP="009C10DF">
      <w:pPr>
        <w:ind w:left="426"/>
      </w:pPr>
      <w:r w:rsidRPr="00CA400C">
        <w:t xml:space="preserve">The </w:t>
      </w:r>
      <w:r w:rsidR="00BB1CB7" w:rsidRPr="00CA400C">
        <w:t>rate</w:t>
      </w:r>
      <w:r w:rsidRPr="00CA400C">
        <w:t xml:space="preserve"> of PD</w:t>
      </w:r>
      <w:r w:rsidR="00B25D32" w:rsidRPr="00CA400C">
        <w:noBreakHyphen/>
      </w:r>
      <w:r w:rsidRPr="00CA400C">
        <w:t xml:space="preserve">L1 gene expression can be assessed </w:t>
      </w:r>
      <w:r w:rsidR="0074324C" w:rsidRPr="00CA400C">
        <w:t>by</w:t>
      </w:r>
      <w:r w:rsidRPr="00CA400C">
        <w:t xml:space="preserve"> </w:t>
      </w:r>
      <w:proofErr w:type="spellStart"/>
      <w:r w:rsidRPr="00CA400C">
        <w:t>immunohistochemical</w:t>
      </w:r>
      <w:proofErr w:type="spellEnd"/>
      <w:r w:rsidRPr="00CA400C">
        <w:t xml:space="preserve"> (IHC) testing </w:t>
      </w:r>
      <w:r w:rsidR="008C1424" w:rsidRPr="00CA400C">
        <w:t>using</w:t>
      </w:r>
      <w:r w:rsidRPr="00CA400C">
        <w:t xml:space="preserve"> antibodies that bind specifically to the PD</w:t>
      </w:r>
      <w:r w:rsidR="00B25D32" w:rsidRPr="00CA400C">
        <w:noBreakHyphen/>
      </w:r>
      <w:r w:rsidRPr="00CA400C">
        <w:t xml:space="preserve">L1 protein. Tumour biopsy material </w:t>
      </w:r>
      <w:r w:rsidR="00264C65" w:rsidRPr="00CA400C">
        <w:t xml:space="preserve">is </w:t>
      </w:r>
      <w:r w:rsidRPr="00CA400C">
        <w:t>sectioned and dried be</w:t>
      </w:r>
      <w:r w:rsidR="008C1424" w:rsidRPr="00CA400C">
        <w:t xml:space="preserve">fore the IHC staining process. </w:t>
      </w:r>
      <w:r w:rsidRPr="00CA400C">
        <w:t xml:space="preserve">The IHC staining </w:t>
      </w:r>
      <w:r w:rsidR="00264C65" w:rsidRPr="00CA400C">
        <w:t>must</w:t>
      </w:r>
      <w:r w:rsidRPr="00CA400C">
        <w:t xml:space="preserve"> be conducted, interpreted and reported by a professional </w:t>
      </w:r>
      <w:r w:rsidR="00883333" w:rsidRPr="00CA400C">
        <w:t xml:space="preserve">anatomical </w:t>
      </w:r>
      <w:r w:rsidRPr="00CA400C">
        <w:t xml:space="preserve">pathologist. The test results can then be used to </w:t>
      </w:r>
      <w:r w:rsidR="008C1424" w:rsidRPr="00CA400C">
        <w:t>inform the treatment pathway for the individual patient</w:t>
      </w:r>
      <w:r w:rsidRPr="00CA400C">
        <w:t>.</w:t>
      </w:r>
    </w:p>
    <w:p w14:paraId="303C44B2" w14:textId="0DA2C7A4" w:rsidR="009C10DF" w:rsidRPr="00CA400C" w:rsidRDefault="009C10DF" w:rsidP="00E052E5">
      <w:pPr>
        <w:ind w:left="426"/>
      </w:pPr>
      <w:r w:rsidRPr="00CA400C">
        <w:t xml:space="preserve">The </w:t>
      </w:r>
      <w:r w:rsidR="00FE74EC" w:rsidRPr="00CA400C">
        <w:t>Roche/</w:t>
      </w:r>
      <w:proofErr w:type="spellStart"/>
      <w:r w:rsidR="00FE74EC" w:rsidRPr="00CA400C">
        <w:t>Ventana</w:t>
      </w:r>
      <w:proofErr w:type="spellEnd"/>
      <w:r w:rsidR="00FE74EC" w:rsidRPr="00CA400C">
        <w:t xml:space="preserve"> SP263 PD</w:t>
      </w:r>
      <w:r w:rsidR="00B25D32" w:rsidRPr="00CA400C">
        <w:noBreakHyphen/>
      </w:r>
      <w:r w:rsidR="00FE74EC" w:rsidRPr="00CA400C">
        <w:t xml:space="preserve">L1 IHC assay is used </w:t>
      </w:r>
      <w:r w:rsidRPr="00CA400C">
        <w:t xml:space="preserve">in </w:t>
      </w:r>
      <w:r w:rsidR="00FE74EC" w:rsidRPr="00CA400C">
        <w:t>EAGLE</w:t>
      </w:r>
      <w:r w:rsidR="005B4985" w:rsidRPr="00CA400C">
        <w:t xml:space="preserve"> and KESTREL</w:t>
      </w:r>
      <w:r w:rsidR="00FE74EC" w:rsidRPr="00CA400C">
        <w:t xml:space="preserve">, </w:t>
      </w:r>
      <w:r w:rsidRPr="00CA400C">
        <w:t xml:space="preserve">the </w:t>
      </w:r>
      <w:r w:rsidR="00FE74EC" w:rsidRPr="00CA400C">
        <w:t xml:space="preserve">pivotal Phase III </w:t>
      </w:r>
      <w:r w:rsidR="008C1424" w:rsidRPr="00CA400C">
        <w:t xml:space="preserve">SCCHN </w:t>
      </w:r>
      <w:r w:rsidR="005B4985" w:rsidRPr="00CA400C">
        <w:t>studies.</w:t>
      </w:r>
      <w:r w:rsidR="00FE74EC" w:rsidRPr="00CA400C">
        <w:t xml:space="preserve"> </w:t>
      </w:r>
    </w:p>
    <w:p w14:paraId="13242DD8" w14:textId="644B79FC" w:rsidR="009C10DF" w:rsidRPr="00CA400C" w:rsidRDefault="009C10DF" w:rsidP="00FE74EC">
      <w:pPr>
        <w:ind w:left="426"/>
      </w:pPr>
      <w:r w:rsidRPr="00CA400C">
        <w:t xml:space="preserve">The </w:t>
      </w:r>
      <w:r w:rsidR="00FE74EC" w:rsidRPr="00CA400C">
        <w:t>co</w:t>
      </w:r>
      <w:r w:rsidR="00B25D32" w:rsidRPr="00CA400C">
        <w:noBreakHyphen/>
      </w:r>
      <w:r w:rsidR="00FE74EC" w:rsidRPr="00CA400C">
        <w:t xml:space="preserve">dependent </w:t>
      </w:r>
      <w:r w:rsidRPr="00CA400C">
        <w:t xml:space="preserve">submission will include data </w:t>
      </w:r>
      <w:r w:rsidR="00A85E8F" w:rsidRPr="00CA400C">
        <w:t xml:space="preserve">comparing </w:t>
      </w:r>
      <w:r w:rsidRPr="00CA400C">
        <w:t xml:space="preserve">the </w:t>
      </w:r>
      <w:r w:rsidR="005B4985" w:rsidRPr="00CA400C">
        <w:t xml:space="preserve">KESTREL and </w:t>
      </w:r>
      <w:r w:rsidR="00FE74EC" w:rsidRPr="00CA400C">
        <w:t>EAGLE</w:t>
      </w:r>
      <w:r w:rsidR="00117E40" w:rsidRPr="00CA400C">
        <w:t xml:space="preserve"> trial–</w:t>
      </w:r>
      <w:r w:rsidRPr="00CA400C">
        <w:t>based PD</w:t>
      </w:r>
      <w:r w:rsidR="00B25D32" w:rsidRPr="00CA400C">
        <w:noBreakHyphen/>
      </w:r>
      <w:r w:rsidRPr="00CA400C">
        <w:t xml:space="preserve">L1 testing method and </w:t>
      </w:r>
      <w:r w:rsidR="006124EE" w:rsidRPr="00CA400C">
        <w:t xml:space="preserve">other </w:t>
      </w:r>
      <w:r w:rsidRPr="00CA400C">
        <w:t>PD</w:t>
      </w:r>
      <w:r w:rsidR="00B25D32" w:rsidRPr="00CA400C">
        <w:noBreakHyphen/>
      </w:r>
      <w:r w:rsidRPr="00CA400C">
        <w:t>L1 testing methods available in Australia</w:t>
      </w:r>
      <w:r w:rsidR="00E052E5" w:rsidRPr="00CA400C">
        <w:t>.</w:t>
      </w:r>
    </w:p>
    <w:p w14:paraId="6DFF6E64" w14:textId="77777777" w:rsidR="009C10DF" w:rsidRPr="00CA400C" w:rsidRDefault="009C10DF" w:rsidP="00462595">
      <w:pPr>
        <w:keepNext/>
        <w:rPr>
          <w:i/>
        </w:rPr>
      </w:pPr>
      <w:proofErr w:type="spellStart"/>
      <w:r w:rsidRPr="00CA400C">
        <w:rPr>
          <w:i/>
        </w:rPr>
        <w:t>Durvalumab</w:t>
      </w:r>
      <w:proofErr w:type="spellEnd"/>
    </w:p>
    <w:p w14:paraId="7B3AD1A2" w14:textId="14C116A7" w:rsidR="00A85E8F" w:rsidRPr="00CA400C" w:rsidRDefault="009C10DF" w:rsidP="009C10DF">
      <w:pPr>
        <w:ind w:left="426"/>
      </w:pPr>
      <w:proofErr w:type="spellStart"/>
      <w:r w:rsidRPr="00CA400C">
        <w:t>Durvalumab</w:t>
      </w:r>
      <w:proofErr w:type="spellEnd"/>
      <w:r w:rsidRPr="00CA400C">
        <w:t xml:space="preserve"> (MEDI4736) is a human </w:t>
      </w:r>
      <w:r w:rsidR="00A85E8F" w:rsidRPr="00CA400C">
        <w:t>monoclonal antibody (</w:t>
      </w:r>
      <w:proofErr w:type="spellStart"/>
      <w:r w:rsidRPr="00CA400C">
        <w:t>mAb</w:t>
      </w:r>
      <w:proofErr w:type="spellEnd"/>
      <w:r w:rsidR="00A85E8F" w:rsidRPr="00CA400C">
        <w:t>)</w:t>
      </w:r>
      <w:r w:rsidRPr="00CA400C">
        <w:t xml:space="preserve"> of the IgG1 kappa subclass</w:t>
      </w:r>
      <w:r w:rsidR="00C21C76" w:rsidRPr="00CA400C">
        <w:t xml:space="preserve"> that</w:t>
      </w:r>
      <w:r w:rsidRPr="00CA400C">
        <w:t xml:space="preserve"> specifically binds human </w:t>
      </w:r>
      <w:r w:rsidR="00491D15" w:rsidRPr="00CA400C">
        <w:t>programmed cell death ligand</w:t>
      </w:r>
      <w:r w:rsidR="00B25D32" w:rsidRPr="00CA400C">
        <w:noBreakHyphen/>
      </w:r>
      <w:r w:rsidR="00491D15" w:rsidRPr="00CA400C">
        <w:t>1 (</w:t>
      </w:r>
      <w:r w:rsidRPr="00CA400C">
        <w:t>PD</w:t>
      </w:r>
      <w:r w:rsidR="00B25D32" w:rsidRPr="00CA400C">
        <w:noBreakHyphen/>
      </w:r>
      <w:r w:rsidRPr="00CA400C">
        <w:t>L1</w:t>
      </w:r>
      <w:r w:rsidR="00491D15" w:rsidRPr="00CA400C">
        <w:t>)</w:t>
      </w:r>
      <w:r w:rsidR="00A85E8F" w:rsidRPr="00CA400C">
        <w:t>.</w:t>
      </w:r>
    </w:p>
    <w:p w14:paraId="1A8935DB" w14:textId="44891674" w:rsidR="00C21C76" w:rsidRPr="00CA400C" w:rsidRDefault="009C10DF" w:rsidP="00C21C76">
      <w:pPr>
        <w:ind w:left="426"/>
      </w:pPr>
      <w:r w:rsidRPr="00CA400C">
        <w:t>PD</w:t>
      </w:r>
      <w:r w:rsidR="00B25D32" w:rsidRPr="00CA400C">
        <w:noBreakHyphen/>
      </w:r>
      <w:r w:rsidRPr="00CA400C">
        <w:t>L1 is a member of the B7 family of transmembrane proteins</w:t>
      </w:r>
      <w:r w:rsidR="00A85E8F" w:rsidRPr="00CA400C">
        <w:t>,</w:t>
      </w:r>
      <w:r w:rsidRPr="00CA400C">
        <w:t xml:space="preserve"> which delivers inhibitory signals to T lymphocytes</w:t>
      </w:r>
      <w:r w:rsidR="00FE74EC" w:rsidRPr="00CA400C">
        <w:t xml:space="preserve">. </w:t>
      </w:r>
      <w:r w:rsidR="00491D15" w:rsidRPr="00CA400C">
        <w:t>Through the expression of PD</w:t>
      </w:r>
      <w:r w:rsidR="00B25D32" w:rsidRPr="00CA400C">
        <w:noBreakHyphen/>
      </w:r>
      <w:r w:rsidR="00491D15" w:rsidRPr="00CA400C">
        <w:t xml:space="preserve">L1 on its surface, a tumour cell can evade detection and destruction by the body’s innate immune system </w:t>
      </w:r>
      <w:r w:rsidRPr="00CA400C">
        <w:t xml:space="preserve">by </w:t>
      </w:r>
      <w:r w:rsidR="00C21C76" w:rsidRPr="00CA400C">
        <w:t>binding to the programmed cell death</w:t>
      </w:r>
      <w:r w:rsidR="00B25D32" w:rsidRPr="00CA400C">
        <w:noBreakHyphen/>
      </w:r>
      <w:r w:rsidR="00C21C76" w:rsidRPr="00CA400C">
        <w:t>1 (PD</w:t>
      </w:r>
      <w:r w:rsidR="00B25D32" w:rsidRPr="00CA400C">
        <w:noBreakHyphen/>
      </w:r>
      <w:r w:rsidR="00C21C76" w:rsidRPr="00CA400C">
        <w:t xml:space="preserve">1) receptor expressed on </w:t>
      </w:r>
      <w:r w:rsidR="00B25D32" w:rsidRPr="00CA400C">
        <w:t>T</w:t>
      </w:r>
      <w:r w:rsidR="00B25D32" w:rsidRPr="00CA400C">
        <w:noBreakHyphen/>
        <w:t>cell</w:t>
      </w:r>
      <w:r w:rsidR="00C21C76" w:rsidRPr="00CA400C">
        <w:t xml:space="preserve">s, thereby </w:t>
      </w:r>
      <w:r w:rsidRPr="00CA400C">
        <w:t>repressing the anti</w:t>
      </w:r>
      <w:r w:rsidR="00B25D32" w:rsidRPr="00CA400C">
        <w:noBreakHyphen/>
        <w:t>tumour T</w:t>
      </w:r>
      <w:r w:rsidR="00B25D32" w:rsidRPr="00CA400C">
        <w:noBreakHyphen/>
      </w:r>
      <w:r w:rsidRPr="00CA400C">
        <w:t>cell response</w:t>
      </w:r>
      <w:r w:rsidR="00C21C76" w:rsidRPr="00CA400C">
        <w:t>.</w:t>
      </w:r>
      <w:r w:rsidRPr="00CA400C">
        <w:t xml:space="preserve"> </w:t>
      </w:r>
      <w:proofErr w:type="spellStart"/>
      <w:r w:rsidR="00C21C76" w:rsidRPr="00CA400C">
        <w:t>Durvalumab</w:t>
      </w:r>
      <w:proofErr w:type="spellEnd"/>
      <w:r w:rsidR="00C21C76" w:rsidRPr="00CA400C">
        <w:t xml:space="preserve"> prevents PD</w:t>
      </w:r>
      <w:r w:rsidR="00B25D32" w:rsidRPr="00CA400C">
        <w:noBreakHyphen/>
      </w:r>
      <w:r w:rsidR="00C21C76" w:rsidRPr="00CA400C">
        <w:t>L1 from interacting with the PD</w:t>
      </w:r>
      <w:r w:rsidR="00B25D32" w:rsidRPr="00CA400C">
        <w:noBreakHyphen/>
      </w:r>
      <w:r w:rsidR="00C21C76" w:rsidRPr="00CA400C">
        <w:t>1 receptor, thus relieving PD</w:t>
      </w:r>
      <w:r w:rsidR="00B25D32" w:rsidRPr="00CA400C">
        <w:noBreakHyphen/>
      </w:r>
      <w:r w:rsidR="00C21C76" w:rsidRPr="00CA400C">
        <w:t>L1’s immunosuppressive effects and enhancing the cytotoxic activity of anti</w:t>
      </w:r>
      <w:r w:rsidR="00B25D32" w:rsidRPr="00CA400C">
        <w:noBreakHyphen/>
        <w:t>tumour T</w:t>
      </w:r>
      <w:r w:rsidR="00B25D32" w:rsidRPr="00CA400C">
        <w:noBreakHyphen/>
      </w:r>
      <w:r w:rsidR="00C21C76" w:rsidRPr="00CA400C">
        <w:t xml:space="preserve">cells.  </w:t>
      </w:r>
    </w:p>
    <w:p w14:paraId="1CE3CBBB" w14:textId="77777777" w:rsidR="009C10DF" w:rsidRPr="00CA400C" w:rsidRDefault="009C10DF" w:rsidP="00462595">
      <w:pPr>
        <w:keepNext/>
        <w:rPr>
          <w:i/>
        </w:rPr>
      </w:pPr>
      <w:proofErr w:type="spellStart"/>
      <w:r w:rsidRPr="00CA400C">
        <w:rPr>
          <w:i/>
        </w:rPr>
        <w:lastRenderedPageBreak/>
        <w:t>Tremelimumab</w:t>
      </w:r>
      <w:proofErr w:type="spellEnd"/>
    </w:p>
    <w:p w14:paraId="6A0B8F1C" w14:textId="3178F525" w:rsidR="009C10DF" w:rsidRPr="00CA400C" w:rsidRDefault="009C10DF" w:rsidP="009C10DF">
      <w:pPr>
        <w:ind w:left="426"/>
      </w:pPr>
      <w:proofErr w:type="spellStart"/>
      <w:r w:rsidRPr="00CA400C">
        <w:t>Tremelimumab</w:t>
      </w:r>
      <w:proofErr w:type="spellEnd"/>
      <w:r w:rsidRPr="00CA400C">
        <w:t xml:space="preserve"> (MEDI1123) is a human </w:t>
      </w:r>
      <w:proofErr w:type="spellStart"/>
      <w:r w:rsidRPr="00CA400C">
        <w:t>mAb</w:t>
      </w:r>
      <w:proofErr w:type="spellEnd"/>
      <w:r w:rsidRPr="00CA400C">
        <w:t xml:space="preserve"> of the IgG2 kappa subclass </w:t>
      </w:r>
      <w:r w:rsidR="00103736" w:rsidRPr="00CA400C">
        <w:t>that</w:t>
      </w:r>
      <w:r w:rsidRPr="00CA400C">
        <w:t xml:space="preserve"> specifically binds to</w:t>
      </w:r>
      <w:r w:rsidR="00B36909" w:rsidRPr="00CA400C">
        <w:t xml:space="preserve"> cytotoxic T </w:t>
      </w:r>
      <w:r w:rsidR="00C21C76" w:rsidRPr="00CA400C">
        <w:t>lymphocyte antigen</w:t>
      </w:r>
      <w:r w:rsidR="00B25D32" w:rsidRPr="00CA400C">
        <w:noBreakHyphen/>
      </w:r>
      <w:r w:rsidRPr="00CA400C">
        <w:t>4 (CTLA</w:t>
      </w:r>
      <w:r w:rsidR="00B25D32" w:rsidRPr="00CA400C">
        <w:noBreakHyphen/>
      </w:r>
      <w:r w:rsidRPr="00CA400C">
        <w:t xml:space="preserve">4), a cell surface receptor that is expressed exclusively on activated </w:t>
      </w:r>
      <w:r w:rsidR="00B25D32" w:rsidRPr="00CA400C">
        <w:t>T</w:t>
      </w:r>
      <w:r w:rsidR="00B25D32" w:rsidRPr="00CA400C">
        <w:noBreakHyphen/>
        <w:t>cell</w:t>
      </w:r>
      <w:r w:rsidRPr="00CA400C">
        <w:t>s</w:t>
      </w:r>
      <w:r w:rsidR="00FE74EC" w:rsidRPr="00CA400C">
        <w:t xml:space="preserve">. </w:t>
      </w:r>
      <w:r w:rsidR="00B36909" w:rsidRPr="00CA400C">
        <w:t>When it binds</w:t>
      </w:r>
      <w:r w:rsidRPr="00CA400C">
        <w:t xml:space="preserve"> to one of the B7 ligands (CD86 or CD80)</w:t>
      </w:r>
      <w:r w:rsidR="00103736" w:rsidRPr="00CA400C">
        <w:t xml:space="preserve"> on antigen</w:t>
      </w:r>
      <w:r w:rsidR="00B25D32" w:rsidRPr="00CA400C">
        <w:noBreakHyphen/>
      </w:r>
      <w:r w:rsidR="00103736" w:rsidRPr="00CA400C">
        <w:t>presenting cells (APCs)</w:t>
      </w:r>
      <w:r w:rsidRPr="00CA400C">
        <w:t>, CTLA</w:t>
      </w:r>
      <w:r w:rsidR="00B25D32" w:rsidRPr="00CA400C">
        <w:noBreakHyphen/>
      </w:r>
      <w:r w:rsidRPr="00CA400C">
        <w:t xml:space="preserve">4 triggers signals that inhibit </w:t>
      </w:r>
      <w:r w:rsidR="00B25D32" w:rsidRPr="00CA400C">
        <w:t>T</w:t>
      </w:r>
      <w:r w:rsidR="00B25D32" w:rsidRPr="00CA400C">
        <w:noBreakHyphen/>
        <w:t>cell</w:t>
      </w:r>
      <w:r w:rsidRPr="00CA400C">
        <w:t xml:space="preserve"> activity, primarily during the early stages of </w:t>
      </w:r>
      <w:r w:rsidR="00B25D32" w:rsidRPr="00CA400C">
        <w:t>T</w:t>
      </w:r>
      <w:r w:rsidR="00B25D32" w:rsidRPr="00CA400C">
        <w:noBreakHyphen/>
        <w:t>cell</w:t>
      </w:r>
      <w:r w:rsidRPr="00CA400C">
        <w:t xml:space="preserve"> activation</w:t>
      </w:r>
      <w:r w:rsidR="00FE74EC" w:rsidRPr="00CA400C">
        <w:t xml:space="preserve">. </w:t>
      </w:r>
      <w:proofErr w:type="spellStart"/>
      <w:r w:rsidRPr="00CA400C">
        <w:t>Tremelimumab</w:t>
      </w:r>
      <w:proofErr w:type="spellEnd"/>
      <w:r w:rsidRPr="00CA400C">
        <w:t xml:space="preserve"> </w:t>
      </w:r>
      <w:r w:rsidR="00B52746" w:rsidRPr="00CA400C">
        <w:t>blocks the</w:t>
      </w:r>
      <w:r w:rsidR="00B36909" w:rsidRPr="00CA400C">
        <w:t xml:space="preserve"> </w:t>
      </w:r>
      <w:r w:rsidRPr="00CA400C">
        <w:t>CTLA</w:t>
      </w:r>
      <w:r w:rsidR="00B25D32" w:rsidRPr="00CA400C">
        <w:noBreakHyphen/>
      </w:r>
      <w:r w:rsidRPr="00CA400C">
        <w:t xml:space="preserve">4 </w:t>
      </w:r>
      <w:r w:rsidR="00B36909" w:rsidRPr="00CA400C">
        <w:t xml:space="preserve">from </w:t>
      </w:r>
      <w:r w:rsidRPr="00CA400C">
        <w:t xml:space="preserve">binding to CD80 and CD86, </w:t>
      </w:r>
      <w:r w:rsidR="00103736" w:rsidRPr="00CA400C">
        <w:t xml:space="preserve">preventing </w:t>
      </w:r>
      <w:r w:rsidRPr="00CA400C">
        <w:t>the inhi</w:t>
      </w:r>
      <w:r w:rsidR="00B36909" w:rsidRPr="00CA400C">
        <w:t>bitory signal induced by CTLA</w:t>
      </w:r>
      <w:r w:rsidR="00B25D32" w:rsidRPr="00CA400C">
        <w:noBreakHyphen/>
      </w:r>
      <w:r w:rsidR="00B36909" w:rsidRPr="00CA400C">
        <w:t>4 and thereby</w:t>
      </w:r>
      <w:r w:rsidRPr="00CA400C">
        <w:t xml:space="preserve"> prolonging </w:t>
      </w:r>
      <w:r w:rsidR="00B25D32" w:rsidRPr="00CA400C">
        <w:t>T</w:t>
      </w:r>
      <w:r w:rsidR="00B25D32" w:rsidRPr="00CA400C">
        <w:noBreakHyphen/>
        <w:t>cell</w:t>
      </w:r>
      <w:r w:rsidRPr="00CA400C">
        <w:t xml:space="preserve"> activation and proliferation</w:t>
      </w:r>
      <w:r w:rsidR="00103736" w:rsidRPr="00CA400C">
        <w:t>,</w:t>
      </w:r>
      <w:r w:rsidRPr="00CA400C">
        <w:t xml:space="preserve"> and enhancing </w:t>
      </w:r>
      <w:r w:rsidR="00B25D32" w:rsidRPr="00CA400C">
        <w:t>T</w:t>
      </w:r>
      <w:r w:rsidR="00B25D32" w:rsidRPr="00CA400C">
        <w:noBreakHyphen/>
        <w:t>cell</w:t>
      </w:r>
      <w:r w:rsidRPr="00CA400C">
        <w:t xml:space="preserve"> anti</w:t>
      </w:r>
      <w:r w:rsidR="00B25D32" w:rsidRPr="00CA400C">
        <w:noBreakHyphen/>
      </w:r>
      <w:r w:rsidRPr="00CA400C">
        <w:t>tumour activity.</w:t>
      </w:r>
    </w:p>
    <w:p w14:paraId="587E1EA1" w14:textId="77777777" w:rsidR="009C10DF" w:rsidRPr="00CA400C" w:rsidRDefault="009C10DF" w:rsidP="00462595">
      <w:pPr>
        <w:keepNext/>
        <w:rPr>
          <w:i/>
        </w:rPr>
      </w:pPr>
      <w:proofErr w:type="spellStart"/>
      <w:r w:rsidRPr="00CA400C">
        <w:rPr>
          <w:i/>
        </w:rPr>
        <w:t>Durvalumab</w:t>
      </w:r>
      <w:proofErr w:type="spellEnd"/>
      <w:r w:rsidRPr="00CA400C">
        <w:rPr>
          <w:i/>
        </w:rPr>
        <w:t>/</w:t>
      </w:r>
      <w:proofErr w:type="spellStart"/>
      <w:r w:rsidRPr="00CA400C">
        <w:rPr>
          <w:i/>
        </w:rPr>
        <w:t>tremelimumab</w:t>
      </w:r>
      <w:proofErr w:type="spellEnd"/>
    </w:p>
    <w:p w14:paraId="7969F12F" w14:textId="57F61BCE" w:rsidR="009C10DF" w:rsidRPr="00CA400C" w:rsidRDefault="009C10DF" w:rsidP="009C10DF">
      <w:pPr>
        <w:ind w:left="426"/>
      </w:pPr>
      <w:r w:rsidRPr="00CA400C">
        <w:t>Targeting both the PD</w:t>
      </w:r>
      <w:r w:rsidR="00B25D32" w:rsidRPr="00CA400C">
        <w:noBreakHyphen/>
      </w:r>
      <w:r w:rsidRPr="00CA400C">
        <w:t>1</w:t>
      </w:r>
      <w:r w:rsidR="003B1174" w:rsidRPr="00CA400C">
        <w:t>/PD-L1</w:t>
      </w:r>
      <w:r w:rsidRPr="00CA400C">
        <w:t xml:space="preserve"> and CTLA</w:t>
      </w:r>
      <w:r w:rsidR="00B25D32" w:rsidRPr="00CA400C">
        <w:noBreakHyphen/>
      </w:r>
      <w:r w:rsidRPr="00CA400C">
        <w:t xml:space="preserve">4 pathways </w:t>
      </w:r>
      <w:r w:rsidR="00264C65" w:rsidRPr="00CA400C">
        <w:t>are thought to</w:t>
      </w:r>
      <w:r w:rsidRPr="00CA400C">
        <w:t xml:space="preserve"> have additive or synergistic activity because the mechanisms of action of the PD</w:t>
      </w:r>
      <w:r w:rsidR="00B25D32" w:rsidRPr="00CA400C">
        <w:noBreakHyphen/>
      </w:r>
      <w:r w:rsidRPr="00CA400C">
        <w:t>1</w:t>
      </w:r>
      <w:r w:rsidR="003B1174" w:rsidRPr="00CA400C">
        <w:t>/PD-L1</w:t>
      </w:r>
      <w:r w:rsidRPr="00CA400C">
        <w:t xml:space="preserve"> and CTLA</w:t>
      </w:r>
      <w:r w:rsidR="00B25D32" w:rsidRPr="00CA400C">
        <w:noBreakHyphen/>
      </w:r>
      <w:r w:rsidRPr="00CA400C">
        <w:t>4 pathways are non</w:t>
      </w:r>
      <w:r w:rsidR="00B25D32" w:rsidRPr="00CA400C">
        <w:noBreakHyphen/>
      </w:r>
      <w:r w:rsidRPr="00CA400C">
        <w:t>redundant: whereas PD</w:t>
      </w:r>
      <w:r w:rsidR="00B25D32" w:rsidRPr="00CA400C">
        <w:noBreakHyphen/>
      </w:r>
      <w:r w:rsidRPr="00CA400C">
        <w:t>1 contributes to T</w:t>
      </w:r>
      <w:r w:rsidR="00B25D32" w:rsidRPr="00CA400C">
        <w:noBreakHyphen/>
      </w:r>
      <w:r w:rsidRPr="00CA400C">
        <w:t>cell exhaustion in peripheral tissues, CTLA</w:t>
      </w:r>
      <w:r w:rsidR="00B25D32" w:rsidRPr="00CA400C">
        <w:noBreakHyphen/>
      </w:r>
      <w:r w:rsidRPr="00CA400C">
        <w:t xml:space="preserve">4 </w:t>
      </w:r>
      <w:r w:rsidR="00B52746" w:rsidRPr="00CA400C">
        <w:t>intervenes</w:t>
      </w:r>
      <w:r w:rsidRPr="00CA400C">
        <w:t xml:space="preserve"> at </w:t>
      </w:r>
      <w:r w:rsidR="00B52746" w:rsidRPr="00CA400C">
        <w:t xml:space="preserve">an </w:t>
      </w:r>
      <w:r w:rsidRPr="00CA400C">
        <w:t xml:space="preserve">earlier </w:t>
      </w:r>
      <w:r w:rsidR="00B52746" w:rsidRPr="00CA400C">
        <w:t xml:space="preserve">stage of </w:t>
      </w:r>
      <w:r w:rsidRPr="00CA400C">
        <w:t>T</w:t>
      </w:r>
      <w:r w:rsidR="00B25D32" w:rsidRPr="00CA400C">
        <w:noBreakHyphen/>
      </w:r>
      <w:r w:rsidRPr="00CA400C">
        <w:t>cell activation</w:t>
      </w:r>
      <w:r w:rsidR="008C1424" w:rsidRPr="00CA400C">
        <w:t xml:space="preserve"> (</w:t>
      </w:r>
      <w:proofErr w:type="spellStart"/>
      <w:r w:rsidR="008C1424" w:rsidRPr="00CA400C">
        <w:t>Pardoll</w:t>
      </w:r>
      <w:proofErr w:type="spellEnd"/>
      <w:r w:rsidR="008C1424" w:rsidRPr="00CA400C">
        <w:t xml:space="preserve"> 2012)</w:t>
      </w:r>
      <w:r w:rsidRPr="00CA400C">
        <w:t>.</w:t>
      </w:r>
      <w:r w:rsidR="008C1424" w:rsidRPr="00CA400C">
        <w:t xml:space="preserve"> </w:t>
      </w:r>
      <w:r w:rsidRPr="00CA400C">
        <w:t>In addition, CTLA</w:t>
      </w:r>
      <w:r w:rsidR="00B25D32" w:rsidRPr="00CA400C">
        <w:noBreakHyphen/>
      </w:r>
      <w:r w:rsidRPr="00CA400C">
        <w:t>4 antagonists have been shown to upregulate PD</w:t>
      </w:r>
      <w:r w:rsidR="00B25D32" w:rsidRPr="00CA400C">
        <w:noBreakHyphen/>
      </w:r>
      <w:r w:rsidRPr="00CA400C">
        <w:t>1 and vice versa, further strengthening the rationale for combination therapy.</w:t>
      </w:r>
    </w:p>
    <w:p w14:paraId="4322C44D" w14:textId="77777777" w:rsidR="002A50FD" w:rsidRPr="00CA400C" w:rsidRDefault="005A3877" w:rsidP="00117E40">
      <w:pPr>
        <w:keepNext/>
        <w:rPr>
          <w:b/>
          <w:i/>
          <w:sz w:val="16"/>
          <w:szCs w:val="16"/>
        </w:rPr>
      </w:pPr>
      <w:r w:rsidRPr="00CA400C">
        <w:rPr>
          <w:b/>
          <w:i/>
          <w:sz w:val="16"/>
          <w:szCs w:val="16"/>
        </w:rPr>
        <w:t>References</w:t>
      </w:r>
    </w:p>
    <w:p w14:paraId="27D19AD0" w14:textId="725B073A" w:rsidR="009C10DF" w:rsidRPr="00CA400C" w:rsidRDefault="005A3877" w:rsidP="005A3877">
      <w:pPr>
        <w:ind w:left="426"/>
        <w:rPr>
          <w:sz w:val="16"/>
          <w:szCs w:val="16"/>
        </w:rPr>
      </w:pPr>
      <w:r w:rsidRPr="00CA400C">
        <w:rPr>
          <w:sz w:val="16"/>
          <w:szCs w:val="16"/>
        </w:rPr>
        <w:t>Lin Y</w:t>
      </w:r>
      <w:r w:rsidR="00B25D32" w:rsidRPr="00CA400C">
        <w:rPr>
          <w:sz w:val="16"/>
          <w:szCs w:val="16"/>
        </w:rPr>
        <w:noBreakHyphen/>
      </w:r>
      <w:r w:rsidRPr="00CA400C">
        <w:rPr>
          <w:sz w:val="16"/>
          <w:szCs w:val="16"/>
        </w:rPr>
        <w:t>M et al. (2015) High PD</w:t>
      </w:r>
      <w:r w:rsidR="00B25D32" w:rsidRPr="00CA400C">
        <w:rPr>
          <w:sz w:val="16"/>
          <w:szCs w:val="16"/>
        </w:rPr>
        <w:noBreakHyphen/>
      </w:r>
      <w:r w:rsidRPr="00CA400C">
        <w:rPr>
          <w:sz w:val="16"/>
          <w:szCs w:val="16"/>
        </w:rPr>
        <w:t xml:space="preserve">L1 expression correlates with metastasis and poor prognosis in oral squamous cell carcinoma. </w:t>
      </w:r>
      <w:proofErr w:type="spellStart"/>
      <w:r w:rsidRPr="00CA400C">
        <w:rPr>
          <w:sz w:val="16"/>
          <w:szCs w:val="16"/>
        </w:rPr>
        <w:t>PLoS</w:t>
      </w:r>
      <w:proofErr w:type="spellEnd"/>
      <w:r w:rsidRPr="00CA400C">
        <w:rPr>
          <w:sz w:val="16"/>
          <w:szCs w:val="16"/>
        </w:rPr>
        <w:t xml:space="preserve"> ONE 10(11): e0142656. doi:10.1371/journal.pone.0142656</w:t>
      </w:r>
    </w:p>
    <w:p w14:paraId="65A9DAD0" w14:textId="77777777" w:rsidR="005A3877" w:rsidRPr="00CA400C" w:rsidRDefault="009C10DF" w:rsidP="005A3877">
      <w:pPr>
        <w:ind w:left="426"/>
        <w:rPr>
          <w:sz w:val="16"/>
          <w:szCs w:val="16"/>
        </w:rPr>
      </w:pPr>
      <w:proofErr w:type="spellStart"/>
      <w:r w:rsidRPr="00CA400C">
        <w:rPr>
          <w:sz w:val="16"/>
        </w:rPr>
        <w:t>Pardoll</w:t>
      </w:r>
      <w:proofErr w:type="spellEnd"/>
      <w:r w:rsidRPr="00CA400C">
        <w:rPr>
          <w:sz w:val="16"/>
        </w:rPr>
        <w:t xml:space="preserve"> DM. </w:t>
      </w:r>
      <w:proofErr w:type="gramStart"/>
      <w:r w:rsidRPr="00CA400C">
        <w:rPr>
          <w:sz w:val="16"/>
        </w:rPr>
        <w:t>The blockade of immune checkpoints in cancer immunotherapy.</w:t>
      </w:r>
      <w:proofErr w:type="gramEnd"/>
      <w:r w:rsidRPr="00CA400C">
        <w:rPr>
          <w:sz w:val="16"/>
        </w:rPr>
        <w:t xml:space="preserve"> Nat Rev Cancer 2012;</w:t>
      </w:r>
      <w:r w:rsidR="00117E40" w:rsidRPr="00CA400C">
        <w:rPr>
          <w:sz w:val="16"/>
        </w:rPr>
        <w:t xml:space="preserve"> </w:t>
      </w:r>
      <w:r w:rsidRPr="00CA400C">
        <w:rPr>
          <w:sz w:val="16"/>
        </w:rPr>
        <w:t>12(4):</w:t>
      </w:r>
      <w:r w:rsidR="00117E40" w:rsidRPr="00CA400C">
        <w:rPr>
          <w:sz w:val="16"/>
        </w:rPr>
        <w:t xml:space="preserve"> </w:t>
      </w:r>
      <w:r w:rsidRPr="00CA400C">
        <w:rPr>
          <w:sz w:val="16"/>
        </w:rPr>
        <w:t>252</w:t>
      </w:r>
      <w:r w:rsidR="00117E40" w:rsidRPr="00CA400C">
        <w:rPr>
          <w:sz w:val="16"/>
        </w:rPr>
        <w:t>–</w:t>
      </w:r>
      <w:r w:rsidRPr="00CA400C">
        <w:rPr>
          <w:sz w:val="16"/>
        </w:rPr>
        <w:t>64</w:t>
      </w:r>
    </w:p>
    <w:p w14:paraId="403C3AC6" w14:textId="77777777" w:rsidR="002A6753" w:rsidRPr="00CA400C" w:rsidRDefault="002A6753" w:rsidP="00530204">
      <w:pPr>
        <w:pStyle w:val="Heading2"/>
      </w:pPr>
      <w:r w:rsidRPr="00CA400C">
        <w:t>Does the proposed medical service include a registered trademark</w:t>
      </w:r>
      <w:r w:rsidR="00707D4D" w:rsidRPr="00CA400C">
        <w:t xml:space="preserve"> component</w:t>
      </w:r>
      <w:r w:rsidRPr="00CA400C">
        <w:t xml:space="preserve"> with characteristics that distinguishes it from other similar health </w:t>
      </w:r>
      <w:r w:rsidR="00707D4D" w:rsidRPr="00CA400C">
        <w:t>components</w:t>
      </w:r>
      <w:r w:rsidRPr="00CA400C">
        <w:t>?</w:t>
      </w:r>
    </w:p>
    <w:p w14:paraId="34F1E1BD" w14:textId="605DB7F3" w:rsidR="002A6753" w:rsidRPr="00CA400C" w:rsidRDefault="00E052E5" w:rsidP="00640050">
      <w:pPr>
        <w:ind w:left="426"/>
        <w:rPr>
          <w:szCs w:val="20"/>
        </w:rPr>
      </w:pPr>
      <w:proofErr w:type="gramStart"/>
      <w:r w:rsidRPr="00CA400C">
        <w:t>Redacted.</w:t>
      </w:r>
      <w:proofErr w:type="gramEnd"/>
    </w:p>
    <w:p w14:paraId="3E6DD678" w14:textId="1F850E9B" w:rsidR="00C22AD8" w:rsidRPr="00CA400C" w:rsidRDefault="00C22AD8" w:rsidP="00530204">
      <w:pPr>
        <w:pStyle w:val="Heading2"/>
      </w:pPr>
      <w:r w:rsidRPr="00CA400C">
        <w:t>If the proposed medical service has a prosthesis or device component to it, does it involve a new approach towards managing a particular sub</w:t>
      </w:r>
      <w:r w:rsidR="00B25D32" w:rsidRPr="00CA400C">
        <w:noBreakHyphen/>
      </w:r>
      <w:r w:rsidRPr="00CA400C">
        <w:t>group of the population with the specific medical condition?</w:t>
      </w:r>
    </w:p>
    <w:p w14:paraId="16C98606" w14:textId="3F30F3C6" w:rsidR="001E2CF1" w:rsidRPr="00CA400C" w:rsidRDefault="00640050" w:rsidP="00E357B9">
      <w:pPr>
        <w:ind w:left="426"/>
        <w:rPr>
          <w:b/>
          <w:szCs w:val="20"/>
        </w:rPr>
      </w:pPr>
      <w:r w:rsidRPr="00CA400C">
        <w:t>Inclusion of PD</w:t>
      </w:r>
      <w:r w:rsidR="00B25D32" w:rsidRPr="00CA400C">
        <w:noBreakHyphen/>
      </w:r>
      <w:r w:rsidRPr="00CA400C">
        <w:t xml:space="preserve">L1 testing on the MBS to determine eligibility for PBS access to </w:t>
      </w:r>
      <w:proofErr w:type="spellStart"/>
      <w:r w:rsidRPr="00CA400C">
        <w:t>durvalumab</w:t>
      </w:r>
      <w:proofErr w:type="spellEnd"/>
      <w:r w:rsidRPr="00CA400C">
        <w:t xml:space="preserve"> monotherapy or </w:t>
      </w:r>
      <w:proofErr w:type="spellStart"/>
      <w:r w:rsidRPr="00CA400C">
        <w:t>durvalumab</w:t>
      </w:r>
      <w:proofErr w:type="spellEnd"/>
      <w:r w:rsidRPr="00CA400C">
        <w:t>/</w:t>
      </w:r>
      <w:proofErr w:type="spellStart"/>
      <w:r w:rsidRPr="00CA400C">
        <w:t>tremelimumab</w:t>
      </w:r>
      <w:proofErr w:type="spellEnd"/>
      <w:r w:rsidRPr="00CA400C">
        <w:t xml:space="preserve"> combination therapy would involve a new approach to the management of patients with recurrent or metastatic SCCHN</w:t>
      </w:r>
      <w:r w:rsidR="007E6F57" w:rsidRPr="00CA400C">
        <w:rPr>
          <w:szCs w:val="20"/>
        </w:rPr>
        <w:t xml:space="preserve">. </w:t>
      </w:r>
      <w:r w:rsidRPr="00CA400C">
        <w:t>In this application</w:t>
      </w:r>
      <w:r w:rsidR="007E6F57" w:rsidRPr="00CA400C">
        <w:t>,</w:t>
      </w:r>
      <w:r w:rsidRPr="00CA400C">
        <w:t xml:space="preserve"> it is proposed that PD</w:t>
      </w:r>
      <w:r w:rsidR="00B25D32" w:rsidRPr="00CA400C">
        <w:noBreakHyphen/>
      </w:r>
      <w:r w:rsidRPr="00CA400C">
        <w:t xml:space="preserve">L1 testing </w:t>
      </w:r>
      <w:r w:rsidR="007D3CCA" w:rsidRPr="00CA400C">
        <w:t>be</w:t>
      </w:r>
      <w:r w:rsidRPr="00CA400C">
        <w:t xml:space="preserve"> used to determine whether </w:t>
      </w:r>
      <w:proofErr w:type="spellStart"/>
      <w:r w:rsidRPr="00CA400C">
        <w:t>durvalumab</w:t>
      </w:r>
      <w:proofErr w:type="spellEnd"/>
      <w:r w:rsidRPr="00CA400C">
        <w:t xml:space="preserve"> monotherapy or </w:t>
      </w:r>
      <w:proofErr w:type="spellStart"/>
      <w:r w:rsidRPr="00CA400C">
        <w:t>durvalumab</w:t>
      </w:r>
      <w:proofErr w:type="spellEnd"/>
      <w:r w:rsidRPr="00CA400C">
        <w:t>/</w:t>
      </w:r>
      <w:proofErr w:type="spellStart"/>
      <w:r w:rsidRPr="00CA400C">
        <w:t>tremelimumab</w:t>
      </w:r>
      <w:proofErr w:type="spellEnd"/>
      <w:r w:rsidRPr="00CA400C">
        <w:t xml:space="preserve"> combination therapy would be the </w:t>
      </w:r>
      <w:r w:rsidR="0055278C" w:rsidRPr="00CA400C">
        <w:t>more beneficial</w:t>
      </w:r>
      <w:r w:rsidRPr="00CA400C">
        <w:t xml:space="preserve"> treatment</w:t>
      </w:r>
      <w:r w:rsidR="00B33828" w:rsidRPr="00CA400C">
        <w:t>,</w:t>
      </w:r>
      <w:r w:rsidRPr="00CA400C">
        <w:t xml:space="preserve"> </w:t>
      </w:r>
      <w:r w:rsidR="007E6F57" w:rsidRPr="00CA400C">
        <w:t xml:space="preserve">based on whether the patient’s tumour expresses a high (≥25%) or low (&lt;25%) </w:t>
      </w:r>
      <w:r w:rsidR="0012410A" w:rsidRPr="00CA400C">
        <w:t>rate</w:t>
      </w:r>
      <w:r w:rsidR="007E6F57" w:rsidRPr="00CA400C">
        <w:t xml:space="preserve"> of PD</w:t>
      </w:r>
      <w:r w:rsidR="00B25D32" w:rsidRPr="00CA400C">
        <w:noBreakHyphen/>
      </w:r>
      <w:r w:rsidR="007E6F57" w:rsidRPr="00CA400C">
        <w:t>L1</w:t>
      </w:r>
      <w:r w:rsidR="005B4985" w:rsidRPr="00CA400C">
        <w:t>, respectively</w:t>
      </w:r>
      <w:r w:rsidRPr="00CA400C">
        <w:t>.</w:t>
      </w:r>
      <w:r w:rsidR="001E2CF1" w:rsidRPr="00CA400C">
        <w:t xml:space="preserve"> </w:t>
      </w:r>
    </w:p>
    <w:p w14:paraId="4C275225" w14:textId="77777777" w:rsidR="006B1B49" w:rsidRPr="00CA400C" w:rsidRDefault="006B1B49" w:rsidP="00530204">
      <w:pPr>
        <w:pStyle w:val="Heading2"/>
      </w:pPr>
      <w:r w:rsidRPr="00CA400C">
        <w:t xml:space="preserve">If applicable, are there any limitations on the </w:t>
      </w:r>
      <w:r w:rsidR="00DF0C51" w:rsidRPr="00CA400C">
        <w:t xml:space="preserve">provision </w:t>
      </w:r>
      <w:r w:rsidRPr="00CA400C">
        <w:t>of the proposed medical se</w:t>
      </w:r>
      <w:r w:rsidR="00DF0C51" w:rsidRPr="00CA400C">
        <w:t xml:space="preserve">rvice delivered to the patient </w:t>
      </w:r>
      <w:r w:rsidR="00D30BDC" w:rsidRPr="00CA400C">
        <w:t>(</w:t>
      </w:r>
      <w:r w:rsidR="00DF0C51" w:rsidRPr="00CA400C">
        <w:t>i</w:t>
      </w:r>
      <w:r w:rsidR="00812EDD" w:rsidRPr="00CA400C">
        <w:t>.</w:t>
      </w:r>
      <w:r w:rsidR="00DF0C51" w:rsidRPr="00CA400C">
        <w:t xml:space="preserve">e. </w:t>
      </w:r>
      <w:r w:rsidR="00707D4D" w:rsidRPr="00CA400C">
        <w:t xml:space="preserve">accessibility, </w:t>
      </w:r>
      <w:r w:rsidR="00DF0C51" w:rsidRPr="00CA400C">
        <w:t>dosage, quantity, duration or frequency</w:t>
      </w:r>
      <w:r w:rsidR="00D30BDC" w:rsidRPr="00CA400C">
        <w:t>)</w:t>
      </w:r>
      <w:r w:rsidR="00AE1188" w:rsidRPr="00CA400C">
        <w:t>:</w:t>
      </w:r>
    </w:p>
    <w:p w14:paraId="1B87379A" w14:textId="321B0BF9" w:rsidR="00CC09D7" w:rsidRPr="00CA400C" w:rsidRDefault="000D4478" w:rsidP="00E357B9">
      <w:pPr>
        <w:ind w:left="426"/>
      </w:pPr>
      <w:r w:rsidRPr="00CA400C">
        <w:t xml:space="preserve">The Sponsor proposes that </w:t>
      </w:r>
      <w:r w:rsidR="005B4985" w:rsidRPr="00CA400C">
        <w:t xml:space="preserve">only </w:t>
      </w:r>
      <w:r w:rsidRPr="00CA400C">
        <w:t>patients with recurrent or metastatic SCCHN be tested for PD</w:t>
      </w:r>
      <w:r w:rsidR="00B25D32" w:rsidRPr="00CA400C">
        <w:noBreakHyphen/>
      </w:r>
      <w:r w:rsidRPr="00CA400C">
        <w:t>L1 expression. It is expected in the substantial majority of cases that patient</w:t>
      </w:r>
      <w:r w:rsidR="007B1561" w:rsidRPr="00CA400C">
        <w:t>s</w:t>
      </w:r>
      <w:r w:rsidRPr="00CA400C">
        <w:t xml:space="preserve"> </w:t>
      </w:r>
      <w:r w:rsidR="007B1561" w:rsidRPr="00CA400C">
        <w:t xml:space="preserve">will </w:t>
      </w:r>
      <w:r w:rsidRPr="00CA400C">
        <w:t>require only one PD</w:t>
      </w:r>
      <w:r w:rsidR="00B25D32" w:rsidRPr="00CA400C">
        <w:noBreakHyphen/>
      </w:r>
      <w:r w:rsidRPr="00CA400C">
        <w:t xml:space="preserve">L1 test to </w:t>
      </w:r>
      <w:r w:rsidR="007B1561" w:rsidRPr="00CA400C">
        <w:t>guide</w:t>
      </w:r>
      <w:r w:rsidRPr="00CA400C">
        <w:t xml:space="preserve"> treatment choice. In a very small number of cases where there is insufficient tissue available</w:t>
      </w:r>
      <w:r w:rsidR="007B1561" w:rsidRPr="00CA400C">
        <w:t>,</w:t>
      </w:r>
      <w:r w:rsidRPr="00CA400C">
        <w:t xml:space="preserve"> a </w:t>
      </w:r>
      <w:r w:rsidR="007B1561" w:rsidRPr="00CA400C">
        <w:t xml:space="preserve">second </w:t>
      </w:r>
      <w:r w:rsidRPr="00CA400C">
        <w:t>biopsy to obtain more tissue may be required. IHC testing generally requires only a very small amount of tissue</w:t>
      </w:r>
      <w:r w:rsidR="007B1561" w:rsidRPr="00CA400C">
        <w:t>;</w:t>
      </w:r>
      <w:r w:rsidRPr="00CA400C">
        <w:t xml:space="preserve"> consequently</w:t>
      </w:r>
      <w:r w:rsidR="007B1561" w:rsidRPr="00CA400C">
        <w:t>,</w:t>
      </w:r>
      <w:r w:rsidRPr="00CA400C">
        <w:t xml:space="preserve"> this circumstance is likely to be rare.</w:t>
      </w:r>
      <w:r w:rsidR="0061658F" w:rsidRPr="00CA400C">
        <w:t xml:space="preserve"> </w:t>
      </w:r>
    </w:p>
    <w:p w14:paraId="52A72F84" w14:textId="4D14CA4A" w:rsidR="00706136" w:rsidRPr="00CA400C" w:rsidRDefault="00706136" w:rsidP="00E357B9">
      <w:pPr>
        <w:ind w:left="426"/>
        <w:rPr>
          <w:szCs w:val="20"/>
        </w:rPr>
      </w:pPr>
      <w:r w:rsidRPr="00CA400C">
        <w:t>The Sponsor does not expect that patients treated with first-line immunotherapy will be retreated with immunotherapy in the second-line setting; therefore, patients will only require one test for PD-L1 expression, prior to init</w:t>
      </w:r>
      <w:r w:rsidR="00E20096" w:rsidRPr="00CA400C">
        <w:t>i</w:t>
      </w:r>
      <w:r w:rsidRPr="00CA400C">
        <w:t xml:space="preserve">ation of </w:t>
      </w:r>
      <w:proofErr w:type="spellStart"/>
      <w:r w:rsidRPr="00CA400C">
        <w:t>durvalumab</w:t>
      </w:r>
      <w:proofErr w:type="spellEnd"/>
      <w:r w:rsidRPr="00CA400C">
        <w:t xml:space="preserve"> ± </w:t>
      </w:r>
      <w:proofErr w:type="spellStart"/>
      <w:r w:rsidRPr="00CA400C">
        <w:t>tremelimumab</w:t>
      </w:r>
      <w:proofErr w:type="spellEnd"/>
      <w:r w:rsidRPr="00CA400C">
        <w:t xml:space="preserve"> in either the first-line or second-line setting.</w:t>
      </w:r>
    </w:p>
    <w:p w14:paraId="2D6CC079" w14:textId="77777777" w:rsidR="00791C8D" w:rsidRPr="00CA400C" w:rsidRDefault="00791C8D" w:rsidP="00530204">
      <w:pPr>
        <w:pStyle w:val="Heading2"/>
      </w:pPr>
      <w:r w:rsidRPr="00CA400C">
        <w:t xml:space="preserve">If applicable, identify any healthcare resources </w:t>
      </w:r>
      <w:r w:rsidR="007522E3" w:rsidRPr="00CA400C">
        <w:t xml:space="preserve">or other medical services </w:t>
      </w:r>
      <w:r w:rsidRPr="00CA400C">
        <w:t xml:space="preserve">that would need to be delivered </w:t>
      </w:r>
      <w:r w:rsidRPr="00CA400C">
        <w:rPr>
          <w:u w:val="single"/>
        </w:rPr>
        <w:t>at the same time</w:t>
      </w:r>
      <w:r w:rsidRPr="00CA400C">
        <w:t xml:space="preserve"> </w:t>
      </w:r>
      <w:r w:rsidR="00197D29" w:rsidRPr="00CA400C">
        <w:t>as the proposed medical service:</w:t>
      </w:r>
    </w:p>
    <w:p w14:paraId="4020BE45" w14:textId="77777777" w:rsidR="00791C8D" w:rsidRPr="00CA400C" w:rsidRDefault="00711806" w:rsidP="00884E69">
      <w:pPr>
        <w:ind w:left="426"/>
        <w:rPr>
          <w:szCs w:val="20"/>
        </w:rPr>
      </w:pPr>
      <w:r w:rsidRPr="00CA400C">
        <w:t>Not applicable.</w:t>
      </w:r>
    </w:p>
    <w:p w14:paraId="43302E83" w14:textId="77777777" w:rsidR="00B17E26" w:rsidRPr="00CA400C" w:rsidRDefault="00B17E26" w:rsidP="00530204">
      <w:pPr>
        <w:pStyle w:val="Heading2"/>
      </w:pPr>
      <w:r w:rsidRPr="00CA400C">
        <w:t>If applicable, advise which health profession</w:t>
      </w:r>
      <w:r w:rsidR="00E4321E" w:rsidRPr="00CA400C">
        <w:t xml:space="preserve">als </w:t>
      </w:r>
      <w:r w:rsidRPr="00CA400C">
        <w:t>will</w:t>
      </w:r>
      <w:r w:rsidR="00E4321E" w:rsidRPr="00CA400C">
        <w:t xml:space="preserve"> </w:t>
      </w:r>
      <w:r w:rsidR="007D2358" w:rsidRPr="00CA400C">
        <w:t xml:space="preserve">primarily deliver the </w:t>
      </w:r>
      <w:r w:rsidR="00E4321E" w:rsidRPr="00CA400C">
        <w:t xml:space="preserve">proposed </w:t>
      </w:r>
      <w:r w:rsidR="00AE1188" w:rsidRPr="00CA400C">
        <w:t>service:</w:t>
      </w:r>
    </w:p>
    <w:p w14:paraId="2A754270" w14:textId="65CFA4C7" w:rsidR="00B17E26" w:rsidRPr="00CA400C" w:rsidRDefault="00B26E42" w:rsidP="00884E69">
      <w:pPr>
        <w:ind w:left="426"/>
        <w:rPr>
          <w:szCs w:val="20"/>
        </w:rPr>
      </w:pPr>
      <w:r w:rsidRPr="00CA400C">
        <w:t>Patients with head and neck cancer are seen by a multi</w:t>
      </w:r>
      <w:r w:rsidR="00B25D32" w:rsidRPr="00CA400C">
        <w:noBreakHyphen/>
      </w:r>
      <w:r w:rsidRPr="00CA400C">
        <w:t xml:space="preserve">disciplinary team, which may include medical oncologists, </w:t>
      </w:r>
      <w:r w:rsidR="00CA26EB" w:rsidRPr="00CA400C">
        <w:t xml:space="preserve">radiation oncologists and maxillofacial surgeons. It is likely that </w:t>
      </w:r>
      <w:r w:rsidRPr="00CA400C">
        <w:t xml:space="preserve">medical oncologists </w:t>
      </w:r>
      <w:r w:rsidR="00CA26EB" w:rsidRPr="00CA400C">
        <w:t xml:space="preserve">will </w:t>
      </w:r>
      <w:r w:rsidR="006862AF" w:rsidRPr="00CA400C">
        <w:t xml:space="preserve">order </w:t>
      </w:r>
      <w:r w:rsidR="00CA26EB" w:rsidRPr="00CA400C">
        <w:t>PD</w:t>
      </w:r>
      <w:r w:rsidR="00B25D32" w:rsidRPr="00CA400C">
        <w:noBreakHyphen/>
      </w:r>
      <w:r w:rsidR="00CA26EB" w:rsidRPr="00CA400C">
        <w:t xml:space="preserve">L1 </w:t>
      </w:r>
      <w:r w:rsidR="006862AF" w:rsidRPr="00CA400C">
        <w:t>test</w:t>
      </w:r>
      <w:r w:rsidR="00CA26EB" w:rsidRPr="00CA400C">
        <w:t>ing</w:t>
      </w:r>
      <w:r w:rsidR="006862AF" w:rsidRPr="00CA400C">
        <w:t xml:space="preserve"> and </w:t>
      </w:r>
      <w:r w:rsidR="001572E8" w:rsidRPr="00CA400C">
        <w:t>undertake the biopsy</w:t>
      </w:r>
      <w:r w:rsidR="00CA26EB" w:rsidRPr="00CA400C">
        <w:t xml:space="preserve"> in the majority of cases</w:t>
      </w:r>
      <w:r w:rsidR="006862AF" w:rsidRPr="00CA400C">
        <w:t xml:space="preserve">. </w:t>
      </w:r>
      <w:r w:rsidR="007B1561" w:rsidRPr="00CA400C">
        <w:t xml:space="preserve">Qualified, trained </w:t>
      </w:r>
      <w:r w:rsidR="00883333" w:rsidRPr="00CA400C">
        <w:t xml:space="preserve">anatomical </w:t>
      </w:r>
      <w:r w:rsidR="007B1561" w:rsidRPr="00CA400C">
        <w:t>p</w:t>
      </w:r>
      <w:r w:rsidR="006862AF" w:rsidRPr="00CA400C">
        <w:t>atholog</w:t>
      </w:r>
      <w:r w:rsidR="002904F6" w:rsidRPr="00CA400C">
        <w:t>ists</w:t>
      </w:r>
      <w:r w:rsidR="006862AF" w:rsidRPr="00CA400C">
        <w:t xml:space="preserve"> will undertake the assay</w:t>
      </w:r>
      <w:r w:rsidR="007B1561" w:rsidRPr="00CA400C">
        <w:t xml:space="preserve"> and report on the results</w:t>
      </w:r>
      <w:r w:rsidR="006862AF" w:rsidRPr="00CA400C">
        <w:t xml:space="preserve">. </w:t>
      </w:r>
    </w:p>
    <w:p w14:paraId="6F829D46" w14:textId="77777777" w:rsidR="00B17E26" w:rsidRPr="00CA400C" w:rsidRDefault="00B17E26" w:rsidP="00530204">
      <w:pPr>
        <w:pStyle w:val="Heading2"/>
      </w:pPr>
      <w:r w:rsidRPr="00CA400C">
        <w:lastRenderedPageBreak/>
        <w:t>If applicable, advise whether the proposed medical service could be delegated or referred to another professional for delive</w:t>
      </w:r>
      <w:r w:rsidR="00AE1188" w:rsidRPr="00CA400C">
        <w:t>ry:</w:t>
      </w:r>
    </w:p>
    <w:p w14:paraId="00D8776D" w14:textId="2842C5C6" w:rsidR="00B17E26" w:rsidRPr="00CA400C" w:rsidRDefault="002A4B0A" w:rsidP="007B1561">
      <w:pPr>
        <w:ind w:left="426"/>
      </w:pPr>
      <w:r w:rsidRPr="00CA400C">
        <w:t xml:space="preserve">Not applicable. The assay must be </w:t>
      </w:r>
      <w:r w:rsidR="007B1561" w:rsidRPr="00CA400C">
        <w:t xml:space="preserve">conducted and interpreted by a suitably qualified, trained </w:t>
      </w:r>
      <w:r w:rsidR="00883333" w:rsidRPr="00CA400C">
        <w:t xml:space="preserve">anatomical </w:t>
      </w:r>
      <w:r w:rsidRPr="00CA400C">
        <w:t>pathologist.</w:t>
      </w:r>
    </w:p>
    <w:p w14:paraId="0B6A40C8" w14:textId="77777777" w:rsidR="00EA0E25" w:rsidRPr="00CA400C" w:rsidRDefault="00EA0E25" w:rsidP="00530204">
      <w:pPr>
        <w:pStyle w:val="Heading2"/>
      </w:pPr>
      <w:r w:rsidRPr="00CA400C">
        <w:t xml:space="preserve">If applicable, specify any proposed limitations on who might deliver the proposed medical service, or who </w:t>
      </w:r>
      <w:r w:rsidR="00AE1188" w:rsidRPr="00CA400C">
        <w:t>might provide a referral for it:</w:t>
      </w:r>
    </w:p>
    <w:p w14:paraId="0643E445" w14:textId="6A812C48" w:rsidR="00EA0E25" w:rsidRPr="00CA400C" w:rsidRDefault="00CA26EB" w:rsidP="00BC424B">
      <w:pPr>
        <w:ind w:left="426"/>
      </w:pPr>
      <w:r w:rsidRPr="00CA400C">
        <w:t xml:space="preserve">Specialists, predominantly medical oncologists, </w:t>
      </w:r>
      <w:r w:rsidR="007048AF" w:rsidRPr="00CA400C">
        <w:t xml:space="preserve">may order the test and </w:t>
      </w:r>
      <w:r w:rsidR="005923DA" w:rsidRPr="00CA400C">
        <w:t>perform</w:t>
      </w:r>
      <w:r w:rsidR="007048AF" w:rsidRPr="00CA400C">
        <w:t xml:space="preserve"> the biopsy. </w:t>
      </w:r>
      <w:r w:rsidR="007A2A8F" w:rsidRPr="00CA400C">
        <w:t xml:space="preserve">Appropriately trained </w:t>
      </w:r>
      <w:r w:rsidR="00883333" w:rsidRPr="00CA400C">
        <w:t xml:space="preserve">anatomical </w:t>
      </w:r>
      <w:r w:rsidR="007A2A8F" w:rsidRPr="00CA400C">
        <w:t>pathologists will undertake the assay.</w:t>
      </w:r>
    </w:p>
    <w:p w14:paraId="2897ABD5" w14:textId="4949E0F8" w:rsidR="005923DA" w:rsidRPr="00CA400C" w:rsidRDefault="005923DA" w:rsidP="00BC424B">
      <w:pPr>
        <w:ind w:left="426"/>
        <w:rPr>
          <w:szCs w:val="20"/>
        </w:rPr>
      </w:pPr>
      <w:r w:rsidRPr="00CA400C">
        <w:t>PD</w:t>
      </w:r>
      <w:r w:rsidR="00B25D32" w:rsidRPr="00CA400C">
        <w:noBreakHyphen/>
      </w:r>
      <w:r w:rsidRPr="00CA400C">
        <w:t>L1 testing in the unresectable recurrent or metastatic SCCHN setting is proposed as pathologist determinable so that the pathologist can promptly report these additional results to medical oncologists and the most appropriate treatment for the patient can be selected without delays associated with additional test requests.</w:t>
      </w:r>
    </w:p>
    <w:p w14:paraId="7598DF1A" w14:textId="77777777" w:rsidR="00EA0E25" w:rsidRPr="00CA400C" w:rsidRDefault="00EA0E25" w:rsidP="00530204">
      <w:pPr>
        <w:pStyle w:val="Heading2"/>
      </w:pPr>
      <w:r w:rsidRPr="00CA400C">
        <w:t xml:space="preserve">If applicable, </w:t>
      </w:r>
      <w:proofErr w:type="gramStart"/>
      <w:r w:rsidRPr="00CA400C">
        <w:t>advise</w:t>
      </w:r>
      <w:proofErr w:type="gramEnd"/>
      <w:r w:rsidRPr="00CA400C">
        <w:t xml:space="preserve"> what type of training </w:t>
      </w:r>
      <w:r w:rsidR="009C03FB" w:rsidRPr="00CA400C">
        <w:t xml:space="preserve">or qualifications </w:t>
      </w:r>
      <w:r w:rsidRPr="00CA400C">
        <w:t xml:space="preserve">would be required to perform the </w:t>
      </w:r>
      <w:r w:rsidR="007522E3" w:rsidRPr="00CA400C">
        <w:t xml:space="preserve">proposed </w:t>
      </w:r>
      <w:r w:rsidRPr="00CA400C">
        <w:t>service</w:t>
      </w:r>
      <w:r w:rsidR="00257FF2" w:rsidRPr="00CA400C">
        <w:t xml:space="preserve"> as well as any accreditation requirements to suppor</w:t>
      </w:r>
      <w:r w:rsidR="009C03FB" w:rsidRPr="00CA400C">
        <w:t xml:space="preserve">t </w:t>
      </w:r>
      <w:r w:rsidR="00257FF2" w:rsidRPr="00CA400C">
        <w:t>service</w:t>
      </w:r>
      <w:r w:rsidR="009C03FB" w:rsidRPr="00CA400C">
        <w:t xml:space="preserve"> delivery</w:t>
      </w:r>
      <w:r w:rsidR="00AE1188" w:rsidRPr="00CA400C">
        <w:t>:</w:t>
      </w:r>
    </w:p>
    <w:p w14:paraId="04B3DB34" w14:textId="65569534" w:rsidR="007048AF" w:rsidRPr="00CA400C" w:rsidRDefault="007048AF" w:rsidP="0073597B">
      <w:pPr>
        <w:ind w:left="426"/>
      </w:pPr>
      <w:r w:rsidRPr="00CA400C">
        <w:t>PD</w:t>
      </w:r>
      <w:r w:rsidR="00B25D32" w:rsidRPr="00CA400C">
        <w:noBreakHyphen/>
      </w:r>
      <w:r w:rsidRPr="00CA400C">
        <w:t>L1 testing should be conducted by suitably qualified professional</w:t>
      </w:r>
      <w:r w:rsidR="00A33FAB" w:rsidRPr="00CA400C">
        <w:t xml:space="preserve"> anatomical</w:t>
      </w:r>
      <w:r w:rsidRPr="00CA400C">
        <w:t xml:space="preserve"> pathologists wh</w:t>
      </w:r>
      <w:r w:rsidR="000A6A4E" w:rsidRPr="00CA400C">
        <w:t>o have been trained to conduct IHC</w:t>
      </w:r>
      <w:r w:rsidRPr="00CA400C">
        <w:t xml:space="preserve"> testing specifically for PD</w:t>
      </w:r>
      <w:r w:rsidR="00B25D32" w:rsidRPr="00CA400C">
        <w:noBreakHyphen/>
      </w:r>
      <w:r w:rsidRPr="00CA400C">
        <w:t xml:space="preserve">L1 following Australian </w:t>
      </w:r>
      <w:r w:rsidR="000A6A4E" w:rsidRPr="00CA400C">
        <w:t xml:space="preserve">National Association of Testing Authorities </w:t>
      </w:r>
      <w:r w:rsidRPr="00CA400C">
        <w:t>(NATA</w:t>
      </w:r>
      <w:r w:rsidR="000A6A4E" w:rsidRPr="00CA400C">
        <w:t>)</w:t>
      </w:r>
      <w:r w:rsidRPr="00CA400C">
        <w:t xml:space="preserve"> accreditation. A </w:t>
      </w:r>
      <w:r w:rsidR="000A6A4E" w:rsidRPr="00CA400C">
        <w:t>q</w:t>
      </w:r>
      <w:r w:rsidRPr="00CA400C">
        <w:t xml:space="preserve">uality </w:t>
      </w:r>
      <w:r w:rsidR="000A6A4E" w:rsidRPr="00CA400C">
        <w:t>a</w:t>
      </w:r>
      <w:r w:rsidRPr="00CA400C">
        <w:t>ssurance</w:t>
      </w:r>
      <w:r w:rsidR="001E2215" w:rsidRPr="00CA400C">
        <w:t xml:space="preserve"> (QA)</w:t>
      </w:r>
      <w:r w:rsidRPr="00CA400C">
        <w:t xml:space="preserve"> </w:t>
      </w:r>
      <w:r w:rsidR="000A6A4E" w:rsidRPr="00CA400C">
        <w:t>p</w:t>
      </w:r>
      <w:r w:rsidRPr="00CA400C">
        <w:t>rogram</w:t>
      </w:r>
      <w:r w:rsidR="000A6A4E" w:rsidRPr="00CA400C">
        <w:t>me</w:t>
      </w:r>
      <w:r w:rsidRPr="00CA400C">
        <w:t xml:space="preserve"> conducted by the </w:t>
      </w:r>
      <w:r w:rsidR="000A6A4E" w:rsidRPr="00CA400C">
        <w:t>Royal College of Pathologists of Australasia</w:t>
      </w:r>
      <w:r w:rsidRPr="00CA400C">
        <w:t xml:space="preserve"> (RCPA) would also </w:t>
      </w:r>
      <w:r w:rsidR="000A6A4E" w:rsidRPr="00CA400C">
        <w:t>help to ensure consistency of results</w:t>
      </w:r>
      <w:r w:rsidRPr="00CA400C">
        <w:t>.</w:t>
      </w:r>
      <w:r w:rsidR="000A6A4E" w:rsidRPr="00CA400C">
        <w:t xml:space="preserve"> </w:t>
      </w:r>
    </w:p>
    <w:p w14:paraId="02ED013B" w14:textId="77777777" w:rsidR="005F3F07" w:rsidRPr="00CA400C" w:rsidRDefault="005C3AE7" w:rsidP="00530204">
      <w:pPr>
        <w:pStyle w:val="Heading2"/>
      </w:pPr>
      <w:r w:rsidRPr="00CA400C">
        <w:t>(</w:t>
      </w:r>
      <w:proofErr w:type="gramStart"/>
      <w:r w:rsidRPr="00CA400C">
        <w:t>a</w:t>
      </w:r>
      <w:proofErr w:type="gramEnd"/>
      <w:r w:rsidRPr="00CA400C">
        <w:t xml:space="preserve">) </w:t>
      </w:r>
      <w:r w:rsidR="005F3F07" w:rsidRPr="00CA400C">
        <w:t>Indicate the proposed setting</w:t>
      </w:r>
      <w:r w:rsidR="00D30BDC" w:rsidRPr="00CA400C">
        <w:t>(</w:t>
      </w:r>
      <w:r w:rsidR="005F3F07" w:rsidRPr="00CA400C">
        <w:t>s</w:t>
      </w:r>
      <w:r w:rsidR="00D30BDC" w:rsidRPr="00CA400C">
        <w:t>)</w:t>
      </w:r>
      <w:r w:rsidR="005F3F07" w:rsidRPr="00CA400C">
        <w:t xml:space="preserve"> in which the proposed medical service will be delivered</w:t>
      </w:r>
      <w:r w:rsidR="00D30BDC" w:rsidRPr="00CA400C">
        <w:t xml:space="preserve"> (select all relevant settings)</w:t>
      </w:r>
      <w:r w:rsidR="00AE1188" w:rsidRPr="00CA400C">
        <w:t>:</w:t>
      </w:r>
    </w:p>
    <w:p w14:paraId="5954F5C5" w14:textId="77777777" w:rsidR="000A478F" w:rsidRPr="00CA400C" w:rsidRDefault="000A478F" w:rsidP="000A478F">
      <w:pPr>
        <w:spacing w:before="0" w:after="0"/>
        <w:ind w:left="426"/>
      </w:pPr>
      <w:r w:rsidRPr="00CA400C">
        <w:rPr>
          <w:szCs w:val="20"/>
        </w:rPr>
        <w:fldChar w:fldCharType="begin">
          <w:ffData>
            <w:name w:val="Check1"/>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Pr="00CA400C">
        <w:rPr>
          <w:szCs w:val="20"/>
        </w:rPr>
        <w:t xml:space="preserve"> </w:t>
      </w:r>
      <w:r w:rsidRPr="00CA400C">
        <w:t>Inpatient private hospital</w:t>
      </w:r>
    </w:p>
    <w:p w14:paraId="2B656F65" w14:textId="77777777" w:rsidR="000A478F" w:rsidRPr="00CA400C" w:rsidRDefault="000A478F" w:rsidP="000A478F">
      <w:pPr>
        <w:spacing w:before="0" w:after="0"/>
        <w:ind w:left="426"/>
      </w:pPr>
      <w:r w:rsidRPr="00CA400C">
        <w:rPr>
          <w:szCs w:val="20"/>
        </w:rPr>
        <w:fldChar w:fldCharType="begin">
          <w:ffData>
            <w:name w:val="Check1"/>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Pr="00CA400C">
        <w:rPr>
          <w:szCs w:val="20"/>
        </w:rPr>
        <w:t xml:space="preserve"> </w:t>
      </w:r>
      <w:r w:rsidRPr="00CA400C">
        <w:t>Inpatient public hospital</w:t>
      </w:r>
    </w:p>
    <w:p w14:paraId="6D6F4497" w14:textId="77777777" w:rsidR="000A478F" w:rsidRPr="00CA400C" w:rsidRDefault="000A478F" w:rsidP="000A478F">
      <w:pPr>
        <w:spacing w:before="0" w:after="0"/>
        <w:ind w:left="426"/>
      </w:pPr>
      <w:r w:rsidRPr="00CA400C">
        <w:rPr>
          <w:szCs w:val="20"/>
        </w:rPr>
        <w:fldChar w:fldCharType="begin">
          <w:ffData>
            <w:name w:val="Check1"/>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Pr="00CA400C">
        <w:rPr>
          <w:szCs w:val="20"/>
        </w:rPr>
        <w:t xml:space="preserve"> </w:t>
      </w:r>
      <w:r w:rsidRPr="00CA400C">
        <w:t>Outpatient clinic</w:t>
      </w:r>
    </w:p>
    <w:p w14:paraId="60A738F5" w14:textId="77777777" w:rsidR="000A478F" w:rsidRPr="00CA400C" w:rsidRDefault="000A478F" w:rsidP="000A478F">
      <w:pPr>
        <w:spacing w:before="0" w:after="0"/>
        <w:ind w:left="426"/>
      </w:pPr>
      <w:r w:rsidRPr="00CA400C">
        <w:rPr>
          <w:szCs w:val="20"/>
        </w:rPr>
        <w:fldChar w:fldCharType="begin">
          <w:ffData>
            <w:name w:val="Check1"/>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Pr="00CA400C">
        <w:rPr>
          <w:szCs w:val="20"/>
        </w:rPr>
        <w:t xml:space="preserve"> </w:t>
      </w:r>
      <w:r w:rsidRPr="00CA400C">
        <w:t>Emergency Department</w:t>
      </w:r>
    </w:p>
    <w:p w14:paraId="0A41029F" w14:textId="77777777" w:rsidR="000A478F" w:rsidRPr="00CA400C" w:rsidRDefault="000A478F" w:rsidP="000A478F">
      <w:pPr>
        <w:spacing w:before="0" w:after="0"/>
        <w:ind w:left="426"/>
      </w:pPr>
      <w:r w:rsidRPr="00CA400C">
        <w:rPr>
          <w:szCs w:val="20"/>
        </w:rPr>
        <w:fldChar w:fldCharType="begin">
          <w:ffData>
            <w:name w:val="Check1"/>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Pr="00CA400C">
        <w:rPr>
          <w:szCs w:val="20"/>
        </w:rPr>
        <w:t xml:space="preserve"> </w:t>
      </w:r>
      <w:r w:rsidRPr="00CA400C">
        <w:t>Consulting rooms</w:t>
      </w:r>
    </w:p>
    <w:p w14:paraId="7B0E4BA6" w14:textId="77777777" w:rsidR="000A478F" w:rsidRPr="00CA400C" w:rsidRDefault="000A478F" w:rsidP="000A478F">
      <w:pPr>
        <w:spacing w:before="0" w:after="0"/>
        <w:ind w:left="426"/>
      </w:pPr>
      <w:r w:rsidRPr="00CA400C">
        <w:rPr>
          <w:szCs w:val="20"/>
        </w:rPr>
        <w:fldChar w:fldCharType="begin">
          <w:ffData>
            <w:name w:val="Check1"/>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Pr="00CA400C">
        <w:rPr>
          <w:szCs w:val="20"/>
        </w:rPr>
        <w:t xml:space="preserve"> </w:t>
      </w:r>
      <w:r w:rsidRPr="00CA400C">
        <w:t>Day surgery centre</w:t>
      </w:r>
    </w:p>
    <w:p w14:paraId="6E7920DA" w14:textId="77777777" w:rsidR="000A478F" w:rsidRPr="00CA400C" w:rsidRDefault="000A478F" w:rsidP="000A478F">
      <w:pPr>
        <w:spacing w:before="0" w:after="0"/>
        <w:ind w:left="426"/>
      </w:pPr>
      <w:r w:rsidRPr="00CA400C">
        <w:rPr>
          <w:szCs w:val="20"/>
        </w:rPr>
        <w:fldChar w:fldCharType="begin">
          <w:ffData>
            <w:name w:val="Check1"/>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Pr="00CA400C">
        <w:rPr>
          <w:szCs w:val="20"/>
        </w:rPr>
        <w:t xml:space="preserve"> </w:t>
      </w:r>
      <w:r w:rsidRPr="00CA400C">
        <w:t>Residential aged care facility</w:t>
      </w:r>
    </w:p>
    <w:p w14:paraId="37EE4DA5" w14:textId="77777777" w:rsidR="000A478F" w:rsidRPr="00CA400C" w:rsidRDefault="000A478F" w:rsidP="000A478F">
      <w:pPr>
        <w:spacing w:before="0" w:after="0"/>
        <w:ind w:left="426"/>
      </w:pPr>
      <w:r w:rsidRPr="00CA400C">
        <w:rPr>
          <w:szCs w:val="20"/>
        </w:rPr>
        <w:fldChar w:fldCharType="begin">
          <w:ffData>
            <w:name w:val="Check1"/>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Pr="00CA400C">
        <w:rPr>
          <w:szCs w:val="20"/>
        </w:rPr>
        <w:t xml:space="preserve"> </w:t>
      </w:r>
      <w:r w:rsidRPr="00CA400C">
        <w:t>Patient’s home</w:t>
      </w:r>
    </w:p>
    <w:p w14:paraId="4C2595EC" w14:textId="77777777" w:rsidR="000A478F" w:rsidRPr="00CA400C" w:rsidRDefault="002904F6" w:rsidP="000A478F">
      <w:pPr>
        <w:spacing w:before="0" w:after="0"/>
        <w:ind w:left="426"/>
      </w:pPr>
      <w:r w:rsidRPr="00CA400C">
        <w:rPr>
          <w:szCs w:val="20"/>
        </w:rPr>
        <w:fldChar w:fldCharType="begin">
          <w:ffData>
            <w:name w:val=""/>
            <w:enabled/>
            <w:calcOnExit w:val="0"/>
            <w:checkBox>
              <w:sizeAuto/>
              <w:default w:val="1"/>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000A478F" w:rsidRPr="00CA400C">
        <w:rPr>
          <w:szCs w:val="20"/>
        </w:rPr>
        <w:t xml:space="preserve"> </w:t>
      </w:r>
      <w:r w:rsidR="000A478F" w:rsidRPr="00CA400C">
        <w:t>Laboratory</w:t>
      </w:r>
    </w:p>
    <w:p w14:paraId="58F5568D" w14:textId="77777777" w:rsidR="000A478F" w:rsidRPr="00CA400C" w:rsidRDefault="000A478F" w:rsidP="000A478F">
      <w:pPr>
        <w:spacing w:before="0" w:after="0"/>
        <w:ind w:left="426"/>
      </w:pPr>
      <w:r w:rsidRPr="00CA400C">
        <w:rPr>
          <w:szCs w:val="20"/>
        </w:rPr>
        <w:fldChar w:fldCharType="begin">
          <w:ffData>
            <w:name w:val="Check1"/>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Pr="00CA400C">
        <w:rPr>
          <w:szCs w:val="20"/>
        </w:rPr>
        <w:t xml:space="preserve"> </w:t>
      </w:r>
      <w:r w:rsidRPr="00CA400C">
        <w:t>Other – please specify below</w:t>
      </w:r>
    </w:p>
    <w:p w14:paraId="57063491" w14:textId="77777777" w:rsidR="005F3F07" w:rsidRPr="00CA400C" w:rsidRDefault="005F3F07" w:rsidP="0073597B">
      <w:pPr>
        <w:ind w:left="426"/>
        <w:rPr>
          <w:b/>
          <w:szCs w:val="20"/>
        </w:rPr>
      </w:pPr>
    </w:p>
    <w:p w14:paraId="241B743F" w14:textId="77777777" w:rsidR="003433D1" w:rsidRPr="00CA400C" w:rsidRDefault="00E048ED" w:rsidP="005C3AE7">
      <w:pPr>
        <w:pStyle w:val="ListParagraph"/>
        <w:numPr>
          <w:ilvl w:val="0"/>
          <w:numId w:val="29"/>
        </w:numPr>
        <w:rPr>
          <w:b/>
          <w:szCs w:val="20"/>
        </w:rPr>
      </w:pPr>
      <w:r w:rsidRPr="00CA400C">
        <w:rPr>
          <w:b/>
          <w:szCs w:val="20"/>
        </w:rPr>
        <w:t>Where the proposed medical service is provided in more than one setting, please describ</w:t>
      </w:r>
      <w:r w:rsidR="00AE1188" w:rsidRPr="00CA400C">
        <w:rPr>
          <w:b/>
          <w:szCs w:val="20"/>
        </w:rPr>
        <w:t>e the rationale related to each:</w:t>
      </w:r>
    </w:p>
    <w:p w14:paraId="4C4758FF" w14:textId="77777777" w:rsidR="0073597B" w:rsidRPr="00CA400C" w:rsidRDefault="006E79CE" w:rsidP="0073597B">
      <w:pPr>
        <w:ind w:left="426"/>
        <w:rPr>
          <w:szCs w:val="20"/>
        </w:rPr>
      </w:pPr>
      <w:r w:rsidRPr="00CA400C">
        <w:rPr>
          <w:szCs w:val="20"/>
        </w:rPr>
        <w:t>Not applicable.</w:t>
      </w:r>
    </w:p>
    <w:p w14:paraId="682E0CBF" w14:textId="77777777" w:rsidR="003E30FB" w:rsidRPr="00CA400C" w:rsidRDefault="003E30FB" w:rsidP="00530204">
      <w:pPr>
        <w:pStyle w:val="Heading2"/>
      </w:pPr>
      <w:r w:rsidRPr="00CA400C">
        <w:t>Is the proposed medical service intended to be entirely rendered in Australia?</w:t>
      </w:r>
    </w:p>
    <w:p w14:paraId="49ABDA9F" w14:textId="77777777" w:rsidR="000A478F" w:rsidRPr="00CA400C" w:rsidRDefault="00DC1655" w:rsidP="000A478F">
      <w:pPr>
        <w:spacing w:before="0" w:after="0"/>
        <w:ind w:left="426"/>
        <w:rPr>
          <w:szCs w:val="20"/>
        </w:rPr>
      </w:pPr>
      <w:r w:rsidRPr="00CA400C">
        <w:rPr>
          <w:szCs w:val="20"/>
        </w:rPr>
        <w:fldChar w:fldCharType="begin">
          <w:ffData>
            <w:name w:val=""/>
            <w:enabled/>
            <w:calcOnExit w:val="0"/>
            <w:checkBox>
              <w:sizeAuto/>
              <w:default w:val="1"/>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000A478F" w:rsidRPr="00CA400C">
        <w:rPr>
          <w:szCs w:val="20"/>
        </w:rPr>
        <w:t xml:space="preserve"> Yes</w:t>
      </w:r>
    </w:p>
    <w:p w14:paraId="60EEDA6E" w14:textId="77777777" w:rsidR="000A478F" w:rsidRPr="00CA400C" w:rsidRDefault="000A478F" w:rsidP="000A478F">
      <w:pPr>
        <w:spacing w:before="0" w:after="0"/>
        <w:ind w:left="426"/>
        <w:rPr>
          <w:szCs w:val="20"/>
        </w:rPr>
      </w:pPr>
      <w:r w:rsidRPr="00CA400C">
        <w:rPr>
          <w:szCs w:val="20"/>
        </w:rPr>
        <w:fldChar w:fldCharType="begin">
          <w:ffData>
            <w:name w:val="Check2"/>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Pr="00CA400C">
        <w:rPr>
          <w:szCs w:val="20"/>
        </w:rPr>
        <w:t xml:space="preserve"> No</w:t>
      </w:r>
      <w:r w:rsidR="00C4696B" w:rsidRPr="00CA400C">
        <w:rPr>
          <w:szCs w:val="20"/>
        </w:rPr>
        <w:t xml:space="preserve"> – please specify below</w:t>
      </w:r>
    </w:p>
    <w:p w14:paraId="463E918A" w14:textId="77777777" w:rsidR="003E30FB" w:rsidRPr="00CA400C" w:rsidRDefault="003E30FB" w:rsidP="000A478F">
      <w:pPr>
        <w:ind w:left="426"/>
      </w:pPr>
    </w:p>
    <w:p w14:paraId="69624454" w14:textId="77777777" w:rsidR="000A478F" w:rsidRPr="00CA400C" w:rsidRDefault="000A478F" w:rsidP="00881F93">
      <w:pPr>
        <w:rPr>
          <w:b/>
          <w:i/>
          <w:szCs w:val="20"/>
          <w:u w:val="single"/>
        </w:rPr>
      </w:pPr>
      <w:r w:rsidRPr="00CA400C">
        <w:rPr>
          <w:b/>
          <w:i/>
          <w:szCs w:val="20"/>
          <w:u w:val="single"/>
        </w:rPr>
        <w:br w:type="page"/>
      </w:r>
    </w:p>
    <w:p w14:paraId="79E44B9D" w14:textId="77777777" w:rsidR="00E60529" w:rsidRPr="00CA400C" w:rsidRDefault="005C3AE7" w:rsidP="005C3AE7">
      <w:pPr>
        <w:pStyle w:val="Subtitle"/>
      </w:pPr>
      <w:r w:rsidRPr="00CA400C">
        <w:lastRenderedPageBreak/>
        <w:t xml:space="preserve">PART 6c – </w:t>
      </w:r>
      <w:r w:rsidR="00E60529" w:rsidRPr="00CA400C">
        <w:t>INFORMATION ABOUT THE COMPARATOR</w:t>
      </w:r>
      <w:r w:rsidR="00A83EC6" w:rsidRPr="00CA400C">
        <w:t>(S)</w:t>
      </w:r>
    </w:p>
    <w:p w14:paraId="4635C4F7" w14:textId="77777777" w:rsidR="00E60529" w:rsidRPr="00CA400C" w:rsidRDefault="00A83EC6" w:rsidP="00530204">
      <w:pPr>
        <w:pStyle w:val="Heading2"/>
      </w:pPr>
      <w:r w:rsidRPr="00CA400C">
        <w:t>Nominate the appropriate comparator(s) for the proposed medical service</w:t>
      </w:r>
      <w:r w:rsidR="00757232" w:rsidRPr="00CA400C">
        <w:t>, i</w:t>
      </w:r>
      <w:r w:rsidR="00D30BDC" w:rsidRPr="00CA400C">
        <w:t>.</w:t>
      </w:r>
      <w:r w:rsidR="000159B9" w:rsidRPr="00CA400C">
        <w:t xml:space="preserve">e. how is the proposed population currently managed in </w:t>
      </w:r>
      <w:r w:rsidR="00707D4D" w:rsidRPr="00CA400C">
        <w:t>the</w:t>
      </w:r>
      <w:r w:rsidR="000159B9" w:rsidRPr="00CA400C">
        <w:t xml:space="preserve"> absence of the proposed medical service </w:t>
      </w:r>
      <w:r w:rsidR="00257FF2" w:rsidRPr="00CA400C">
        <w:t>being available in the Australian health care system (</w:t>
      </w:r>
      <w:r w:rsidR="00757232" w:rsidRPr="00CA400C">
        <w:t xml:space="preserve">including </w:t>
      </w:r>
      <w:r w:rsidR="00257FF2" w:rsidRPr="00CA400C">
        <w:t>identify</w:t>
      </w:r>
      <w:r w:rsidR="00757232" w:rsidRPr="00CA400C">
        <w:t>ing</w:t>
      </w:r>
      <w:r w:rsidR="00E4321E" w:rsidRPr="00CA400C">
        <w:t xml:space="preserve"> health care resources that </w:t>
      </w:r>
      <w:r w:rsidR="00257FF2" w:rsidRPr="00CA400C">
        <w:t xml:space="preserve">are </w:t>
      </w:r>
      <w:r w:rsidR="00E4321E" w:rsidRPr="00CA400C">
        <w:t>need</w:t>
      </w:r>
      <w:r w:rsidR="00757232" w:rsidRPr="00CA400C">
        <w:t>ed</w:t>
      </w:r>
      <w:r w:rsidR="00E4321E" w:rsidRPr="00CA400C">
        <w:t xml:space="preserve"> to be delivered at </w:t>
      </w:r>
      <w:r w:rsidR="00257FF2" w:rsidRPr="00CA400C">
        <w:t xml:space="preserve">the </w:t>
      </w:r>
      <w:r w:rsidR="00E4321E" w:rsidRPr="00CA400C">
        <w:t xml:space="preserve">same time </w:t>
      </w:r>
      <w:r w:rsidR="00257FF2" w:rsidRPr="00CA400C">
        <w:t>as the</w:t>
      </w:r>
      <w:r w:rsidR="00E4321E" w:rsidRPr="00CA400C">
        <w:t xml:space="preserve"> </w:t>
      </w:r>
      <w:r w:rsidR="00257FF2" w:rsidRPr="00CA400C">
        <w:t xml:space="preserve">comparator </w:t>
      </w:r>
      <w:r w:rsidR="00E4321E" w:rsidRPr="00CA400C">
        <w:t>service</w:t>
      </w:r>
      <w:r w:rsidR="00257FF2" w:rsidRPr="00CA400C">
        <w:t>)</w:t>
      </w:r>
      <w:r w:rsidR="00AE1188" w:rsidRPr="00CA400C">
        <w:t>:</w:t>
      </w:r>
    </w:p>
    <w:p w14:paraId="17D2062F" w14:textId="266FFC61" w:rsidR="00E60529" w:rsidRPr="00CA400C" w:rsidRDefault="00B404CE" w:rsidP="001B29A1">
      <w:pPr>
        <w:ind w:left="426"/>
      </w:pPr>
      <w:r w:rsidRPr="00CA400C">
        <w:t>The appropriate comparator for the purposes of this application is</w:t>
      </w:r>
      <w:r w:rsidR="003F3B87" w:rsidRPr="00CA400C">
        <w:t xml:space="preserve"> no PD</w:t>
      </w:r>
      <w:r w:rsidR="00B25D32" w:rsidRPr="00CA400C">
        <w:noBreakHyphen/>
      </w:r>
      <w:r w:rsidR="003F3B87" w:rsidRPr="00CA400C">
        <w:t xml:space="preserve">L1 test and the </w:t>
      </w:r>
      <w:r w:rsidR="005117D2" w:rsidRPr="00CA400C">
        <w:t xml:space="preserve">subsequent continuation of </w:t>
      </w:r>
      <w:r w:rsidR="0055278C" w:rsidRPr="00CA400C">
        <w:t xml:space="preserve">a chemotherapy-based treatment regimen, </w:t>
      </w:r>
      <w:r w:rsidR="005117D2" w:rsidRPr="00CA400C">
        <w:t>the current standard of care.</w:t>
      </w:r>
      <w:r w:rsidRPr="00CA400C">
        <w:t xml:space="preserve"> PD</w:t>
      </w:r>
      <w:r w:rsidR="00B25D32" w:rsidRPr="00CA400C">
        <w:noBreakHyphen/>
      </w:r>
      <w:r w:rsidRPr="00CA400C">
        <w:t>L1 test</w:t>
      </w:r>
      <w:r w:rsidR="00B33828" w:rsidRPr="00CA400C">
        <w:t>ing is not currently</w:t>
      </w:r>
      <w:r w:rsidRPr="00CA400C">
        <w:t xml:space="preserve"> listed on the </w:t>
      </w:r>
      <w:r w:rsidR="007163EC" w:rsidRPr="00CA400C">
        <w:t>MBS</w:t>
      </w:r>
      <w:r w:rsidRPr="00CA400C">
        <w:t xml:space="preserve"> for any indication, including SCCHN. In the absence of the test, access to </w:t>
      </w:r>
      <w:proofErr w:type="spellStart"/>
      <w:r w:rsidRPr="00CA400C">
        <w:t>durvalumab</w:t>
      </w:r>
      <w:proofErr w:type="spellEnd"/>
      <w:r w:rsidRPr="00CA400C">
        <w:t xml:space="preserve"> and </w:t>
      </w:r>
      <w:proofErr w:type="spellStart"/>
      <w:r w:rsidRPr="00CA400C">
        <w:t>tremelimumab</w:t>
      </w:r>
      <w:proofErr w:type="spellEnd"/>
      <w:r w:rsidRPr="00CA400C">
        <w:t xml:space="preserve"> combination therapy would be denied to patients. In this case, </w:t>
      </w:r>
      <w:r w:rsidR="00B008AD" w:rsidRPr="00CA400C">
        <w:t>patients</w:t>
      </w:r>
      <w:r w:rsidRPr="00CA400C">
        <w:t xml:space="preserve"> would be relegated to the current </w:t>
      </w:r>
      <w:r w:rsidR="0055278C" w:rsidRPr="00CA400C">
        <w:t>standard of</w:t>
      </w:r>
      <w:r w:rsidR="006E79CE" w:rsidRPr="00CA400C">
        <w:t xml:space="preserve"> care.</w:t>
      </w:r>
      <w:r w:rsidR="00696932" w:rsidRPr="00CA400C">
        <w:t xml:space="preserve"> Alternatively, without testing, patients could be </w:t>
      </w:r>
      <w:proofErr w:type="gramStart"/>
      <w:r w:rsidR="008A2D53" w:rsidRPr="00CA400C">
        <w:t>receive</w:t>
      </w:r>
      <w:proofErr w:type="gramEnd"/>
      <w:r w:rsidR="008A2D53" w:rsidRPr="00CA400C">
        <w:t xml:space="preserve"> untargeted </w:t>
      </w:r>
      <w:r w:rsidR="00696932" w:rsidRPr="00CA400C">
        <w:t xml:space="preserve">treated with </w:t>
      </w:r>
      <w:proofErr w:type="spellStart"/>
      <w:r w:rsidR="00696932" w:rsidRPr="00CA400C">
        <w:t>durvalumab</w:t>
      </w:r>
      <w:proofErr w:type="spellEnd"/>
      <w:r w:rsidR="00696932" w:rsidRPr="00CA400C">
        <w:t xml:space="preserve"> or </w:t>
      </w:r>
      <w:proofErr w:type="spellStart"/>
      <w:r w:rsidR="00696932" w:rsidRPr="00CA400C">
        <w:t>durvalumab</w:t>
      </w:r>
      <w:proofErr w:type="spellEnd"/>
      <w:r w:rsidR="00696932" w:rsidRPr="00CA400C">
        <w:t>/</w:t>
      </w:r>
      <w:proofErr w:type="spellStart"/>
      <w:r w:rsidR="00696932" w:rsidRPr="00CA400C">
        <w:t>tremelimumab</w:t>
      </w:r>
      <w:proofErr w:type="spellEnd"/>
      <w:r w:rsidR="00696932" w:rsidRPr="00CA400C">
        <w:t xml:space="preserve"> combination therapy.  </w:t>
      </w:r>
    </w:p>
    <w:p w14:paraId="6F43F35E" w14:textId="1CD0DB52" w:rsidR="00610689" w:rsidRPr="00CA400C" w:rsidRDefault="00610689" w:rsidP="001B29A1">
      <w:pPr>
        <w:ind w:left="426"/>
      </w:pPr>
      <w:r w:rsidRPr="00CA400C">
        <w:t>There are three applications being reviewed by the MSAC relating to PD</w:t>
      </w:r>
      <w:r w:rsidR="00B25D32" w:rsidRPr="00CA400C">
        <w:noBreakHyphen/>
      </w:r>
      <w:r w:rsidRPr="00CA400C">
        <w:t>L1 testing (applications 1414, 1440</w:t>
      </w:r>
      <w:r w:rsidR="002466BF" w:rsidRPr="00CA400C">
        <w:t xml:space="preserve"> and</w:t>
      </w:r>
      <w:r w:rsidRPr="00CA400C">
        <w:t xml:space="preserve"> 1457). None of these applications relate to SCCHN.</w:t>
      </w:r>
    </w:p>
    <w:p w14:paraId="1DB46EDA" w14:textId="3D986FD8" w:rsidR="007D05EE" w:rsidRPr="00CA400C" w:rsidRDefault="006C1956" w:rsidP="007D05EE">
      <w:pPr>
        <w:ind w:left="426"/>
      </w:pPr>
      <w:r w:rsidRPr="00CA400C">
        <w:t xml:space="preserve">For the purposes of the planned co-dependent PBAC/MSAC applications in first-line and second-line SCCHN, an active drug comparator may also be used, particularly for assessing the efficacy and safety of </w:t>
      </w:r>
      <w:proofErr w:type="spellStart"/>
      <w:r w:rsidRPr="00CA400C">
        <w:t>durvalumab</w:t>
      </w:r>
      <w:proofErr w:type="spellEnd"/>
      <w:r w:rsidRPr="00CA400C">
        <w:t xml:space="preserve"> monotherapy. Both </w:t>
      </w:r>
      <w:proofErr w:type="spellStart"/>
      <w:r w:rsidRPr="00CA400C">
        <w:t>nivolumab</w:t>
      </w:r>
      <w:proofErr w:type="spellEnd"/>
      <w:r w:rsidRPr="00CA400C">
        <w:t xml:space="preserve"> and </w:t>
      </w:r>
      <w:proofErr w:type="spellStart"/>
      <w:r w:rsidRPr="00CA400C">
        <w:t>pembrolizumab</w:t>
      </w:r>
      <w:proofErr w:type="spellEnd"/>
      <w:r w:rsidRPr="00CA400C">
        <w:t xml:space="preserve"> have been evaluated for use in secon</w:t>
      </w:r>
      <w:r w:rsidR="00304F3D" w:rsidRPr="00CA400C">
        <w:t xml:space="preserve">d-line treatment of SCCHN, and </w:t>
      </w:r>
      <w:proofErr w:type="spellStart"/>
      <w:r w:rsidR="00304F3D" w:rsidRPr="00CA400C">
        <w:t>pembrolizumab</w:t>
      </w:r>
      <w:proofErr w:type="spellEnd"/>
      <w:r w:rsidR="00304F3D" w:rsidRPr="00CA400C">
        <w:t xml:space="preserve"> has been registered for use in Australia for SCCHN </w:t>
      </w:r>
      <w:r w:rsidR="00974CB3" w:rsidRPr="00CA400C">
        <w:t>in the second-line setting</w:t>
      </w:r>
      <w:r w:rsidR="003D18A5" w:rsidRPr="00CA400C">
        <w:t xml:space="preserve"> (on the basis of early-phase trial data; Phase III trial results are pending)</w:t>
      </w:r>
      <w:r w:rsidR="00304F3D" w:rsidRPr="00CA400C">
        <w:t xml:space="preserve">. Both of these agents are also being evaluated </w:t>
      </w:r>
      <w:r w:rsidR="00974CB3" w:rsidRPr="00CA400C">
        <w:t>for first-line treatment of SCCHN</w:t>
      </w:r>
      <w:r w:rsidR="00304F3D" w:rsidRPr="00CA400C">
        <w:t xml:space="preserve">. </w:t>
      </w:r>
      <w:r w:rsidR="003D18A5" w:rsidRPr="00CA400C">
        <w:t xml:space="preserve">Should either or both of these agents become reimbursed before </w:t>
      </w:r>
      <w:proofErr w:type="spellStart"/>
      <w:r w:rsidR="003D18A5" w:rsidRPr="00CA400C">
        <w:t>durvalumab</w:t>
      </w:r>
      <w:proofErr w:type="spellEnd"/>
      <w:r w:rsidR="003D18A5" w:rsidRPr="00CA400C">
        <w:t xml:space="preserve">, an indirect comparison with </w:t>
      </w:r>
      <w:proofErr w:type="spellStart"/>
      <w:r w:rsidR="003D18A5" w:rsidRPr="00CA400C">
        <w:t>durvalumab</w:t>
      </w:r>
      <w:proofErr w:type="spellEnd"/>
      <w:r w:rsidR="003D18A5" w:rsidRPr="00CA400C">
        <w:t xml:space="preserve"> will be presented in the co-dependent submissions. </w:t>
      </w:r>
    </w:p>
    <w:p w14:paraId="72A685AC" w14:textId="0C3CC004" w:rsidR="00051612" w:rsidRPr="00CA400C" w:rsidRDefault="00242457" w:rsidP="007D05EE">
      <w:pPr>
        <w:ind w:left="426"/>
      </w:pPr>
      <w:r w:rsidRPr="00CA400C">
        <w:t>B</w:t>
      </w:r>
      <w:r w:rsidR="00051612" w:rsidRPr="00CA400C">
        <w:t xml:space="preserve">oth the EAGLE and KESTREL trials pre-specified that patients be stratified </w:t>
      </w:r>
      <w:r w:rsidRPr="00CA400C">
        <w:t xml:space="preserve">by a PD-L1 rate of &lt;25% or ≥25%. However, </w:t>
      </w:r>
      <w:r w:rsidR="00AA6E44" w:rsidRPr="00CA400C">
        <w:t>if</w:t>
      </w:r>
      <w:r w:rsidRPr="00CA400C">
        <w:t xml:space="preserve"> the relevant comparators include other PD-1/PD-L1 inhibitors, post-hoc analyses of the data at other PD-L1 rates will be undertaken to allow an indirect comparison to be made.</w:t>
      </w:r>
    </w:p>
    <w:p w14:paraId="1CDC4321" w14:textId="77777777" w:rsidR="00757232" w:rsidRPr="00CA400C" w:rsidRDefault="00AF5D1E" w:rsidP="00530204">
      <w:pPr>
        <w:pStyle w:val="Heading2"/>
      </w:pPr>
      <w:r w:rsidRPr="00CA400C">
        <w:t>Does the medical service that has been nominated as the comparator</w:t>
      </w:r>
      <w:r w:rsidR="000159B9" w:rsidRPr="00CA400C">
        <w:t xml:space="preserve"> </w:t>
      </w:r>
      <w:r w:rsidRPr="00CA400C">
        <w:t>have an existing MBS item number</w:t>
      </w:r>
      <w:r w:rsidR="00D30BDC" w:rsidRPr="00CA400C">
        <w:t>(s)</w:t>
      </w:r>
      <w:r w:rsidR="00757232" w:rsidRPr="00CA400C">
        <w:t>?</w:t>
      </w:r>
    </w:p>
    <w:p w14:paraId="490804B5" w14:textId="77777777" w:rsidR="006A1038" w:rsidRPr="00CA400C" w:rsidRDefault="006A1038" w:rsidP="006A1038">
      <w:pPr>
        <w:spacing w:before="0" w:after="0"/>
        <w:ind w:left="426"/>
        <w:rPr>
          <w:szCs w:val="20"/>
        </w:rPr>
      </w:pPr>
      <w:r w:rsidRPr="00CA400C">
        <w:rPr>
          <w:szCs w:val="20"/>
        </w:rPr>
        <w:fldChar w:fldCharType="begin">
          <w:ffData>
            <w:name w:val="Check1"/>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Pr="00CA400C">
        <w:rPr>
          <w:szCs w:val="20"/>
        </w:rPr>
        <w:t xml:space="preserve"> Yes (please provide all relevant MBS item numbers below)</w:t>
      </w:r>
    </w:p>
    <w:p w14:paraId="53A964AD" w14:textId="77777777" w:rsidR="000159B9" w:rsidRPr="00CA400C" w:rsidRDefault="00E6648B" w:rsidP="006A1038">
      <w:pPr>
        <w:spacing w:before="0" w:after="0"/>
        <w:ind w:left="426"/>
        <w:rPr>
          <w:szCs w:val="20"/>
        </w:rPr>
      </w:pPr>
      <w:r w:rsidRPr="00CA400C">
        <w:rPr>
          <w:szCs w:val="20"/>
        </w:rPr>
        <w:fldChar w:fldCharType="begin">
          <w:ffData>
            <w:name w:val=""/>
            <w:enabled/>
            <w:calcOnExit w:val="0"/>
            <w:checkBox>
              <w:sizeAuto/>
              <w:default w:val="1"/>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005117D2" w:rsidRPr="00CA400C">
        <w:rPr>
          <w:szCs w:val="20"/>
        </w:rPr>
        <w:t xml:space="preserve"> No</w:t>
      </w:r>
    </w:p>
    <w:p w14:paraId="24882148" w14:textId="3981258B" w:rsidR="000159B9" w:rsidRPr="00CA400C" w:rsidRDefault="008B5A00" w:rsidP="001B29A1">
      <w:pPr>
        <w:ind w:left="426"/>
        <w:rPr>
          <w:szCs w:val="20"/>
        </w:rPr>
      </w:pPr>
      <w:r w:rsidRPr="00CA400C">
        <w:t>Not app</w:t>
      </w:r>
      <w:r w:rsidR="007C2B0C" w:rsidRPr="00CA400C">
        <w:t>licable.</w:t>
      </w:r>
    </w:p>
    <w:p w14:paraId="1571983B" w14:textId="77777777" w:rsidR="00AF5D1E" w:rsidRPr="00CA400C" w:rsidRDefault="00AF5D1E" w:rsidP="00530204">
      <w:pPr>
        <w:pStyle w:val="Heading2"/>
      </w:pPr>
      <w:r w:rsidRPr="00CA400C">
        <w:t>Define and summarise the current cl</w:t>
      </w:r>
      <w:r w:rsidR="00F33F1A" w:rsidRPr="00CA400C">
        <w:t xml:space="preserve">inical management pathways that patients may follow </w:t>
      </w:r>
      <w:r w:rsidR="00F33F1A" w:rsidRPr="00CA400C">
        <w:rPr>
          <w:i/>
        </w:rPr>
        <w:t>after</w:t>
      </w:r>
      <w:r w:rsidR="00757232" w:rsidRPr="00CA400C">
        <w:t xml:space="preserve"> they receive</w:t>
      </w:r>
      <w:r w:rsidRPr="00CA400C">
        <w:t xml:space="preserve"> </w:t>
      </w:r>
      <w:r w:rsidR="00F33F1A" w:rsidRPr="00CA400C">
        <w:t xml:space="preserve">the medical service that has been nominated as the comparator </w:t>
      </w:r>
      <w:r w:rsidRPr="00CA400C">
        <w:t xml:space="preserve">(supplement this summary with </w:t>
      </w:r>
      <w:r w:rsidR="00F33F1A" w:rsidRPr="00CA400C">
        <w:t xml:space="preserve">an easy to follow flowchart </w:t>
      </w:r>
      <w:r w:rsidR="00757232" w:rsidRPr="00CA400C">
        <w:t xml:space="preserve">[as an attachment to the Application Form] </w:t>
      </w:r>
      <w:r w:rsidR="00F33F1A" w:rsidRPr="00CA400C">
        <w:t>dep</w:t>
      </w:r>
      <w:r w:rsidRPr="00CA400C">
        <w:t>icting the current c</w:t>
      </w:r>
      <w:r w:rsidR="0054594B" w:rsidRPr="00CA400C">
        <w:t>linical management pathway</w:t>
      </w:r>
      <w:r w:rsidR="00757232" w:rsidRPr="00CA400C">
        <w:t xml:space="preserve"> </w:t>
      </w:r>
      <w:r w:rsidR="0054594B" w:rsidRPr="00CA400C">
        <w:t>that patients may follow from the point of receiving the comparator onwards</w:t>
      </w:r>
      <w:r w:rsidR="00E4321E" w:rsidRPr="00CA400C">
        <w:t xml:space="preserve"> including health care resources</w:t>
      </w:r>
      <w:r w:rsidR="00AE1188" w:rsidRPr="00CA400C">
        <w:t>):</w:t>
      </w:r>
    </w:p>
    <w:p w14:paraId="4ED414E1" w14:textId="2AFB3E98" w:rsidR="00190FE5" w:rsidRPr="00CA400C" w:rsidRDefault="00190FE5" w:rsidP="00190FE5">
      <w:pPr>
        <w:ind w:left="426"/>
      </w:pPr>
      <w:r w:rsidRPr="00CA400C">
        <w:fldChar w:fldCharType="begin"/>
      </w:r>
      <w:r w:rsidRPr="00CA400C">
        <w:instrText xml:space="preserve"> REF _Ref478377856 \h  \* MERGEFORMAT </w:instrText>
      </w:r>
      <w:r w:rsidRPr="00CA400C">
        <w:fldChar w:fldCharType="separate"/>
      </w:r>
      <w:r w:rsidRPr="00CA400C">
        <w:t xml:space="preserve">Figure </w:t>
      </w:r>
      <w:r w:rsidRPr="00CA400C">
        <w:rPr>
          <w:noProof/>
        </w:rPr>
        <w:t>1</w:t>
      </w:r>
      <w:r w:rsidRPr="00CA400C">
        <w:fldChar w:fldCharType="end"/>
      </w:r>
      <w:r w:rsidRPr="00CA400C">
        <w:t xml:space="preserve"> shows the current clinical treatment algorithm for SCCHN. It should be noted that the therapy chosen for an individual patient will depend on several factors, including the stage of the disease; the patient’s age and general state of physical and mental health; and performance status.</w:t>
      </w:r>
    </w:p>
    <w:p w14:paraId="3931CFA9" w14:textId="1DD859E0" w:rsidR="00190FE5" w:rsidRPr="00CA400C" w:rsidRDefault="00190FE5" w:rsidP="00190FE5">
      <w:pPr>
        <w:ind w:left="426"/>
      </w:pPr>
    </w:p>
    <w:p w14:paraId="46F84AA7" w14:textId="77777777" w:rsidR="00190FE5" w:rsidRPr="00CA400C" w:rsidRDefault="00190FE5" w:rsidP="00190FE5">
      <w:pPr>
        <w:ind w:left="426"/>
      </w:pPr>
      <w:r w:rsidRPr="00CA400C">
        <w:rPr>
          <w:noProof/>
          <w:lang w:eastAsia="en-AU"/>
        </w:rPr>
        <w:lastRenderedPageBreak/>
        <w:drawing>
          <wp:inline distT="0" distB="0" distL="0" distR="0" wp14:anchorId="22D6E90E" wp14:editId="59DD703F">
            <wp:extent cx="4635611" cy="3676661"/>
            <wp:effectExtent l="0" t="0" r="0" b="0"/>
            <wp:docPr id="3" name="Picture 3" descr="Figure 1. Current clinical treatment algorithm for unresectable recurrent or metastatic squamous cell carcinoma of the head and neck (SCCHN) in the absence of PD L1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62985" cy="3698372"/>
                    </a:xfrm>
                    <a:prstGeom prst="rect">
                      <a:avLst/>
                    </a:prstGeom>
                    <a:noFill/>
                    <a:ln>
                      <a:noFill/>
                    </a:ln>
                  </pic:spPr>
                </pic:pic>
              </a:graphicData>
            </a:graphic>
          </wp:inline>
        </w:drawing>
      </w:r>
    </w:p>
    <w:p w14:paraId="3E54D4B7" w14:textId="77777777" w:rsidR="00190FE5" w:rsidRPr="00CA400C" w:rsidRDefault="00190FE5" w:rsidP="00190FE5">
      <w:pPr>
        <w:pStyle w:val="Caption"/>
      </w:pPr>
      <w:proofErr w:type="gramStart"/>
      <w:r w:rsidRPr="00CA400C">
        <w:t xml:space="preserve">Figure </w:t>
      </w:r>
      <w:r w:rsidR="00236EB6">
        <w:fldChar w:fldCharType="begin"/>
      </w:r>
      <w:r w:rsidR="00236EB6">
        <w:instrText xml:space="preserve"> SEQ Figure \* ARABIC </w:instrText>
      </w:r>
      <w:r w:rsidR="00236EB6">
        <w:fldChar w:fldCharType="separate"/>
      </w:r>
      <w:r w:rsidRPr="00CA400C">
        <w:rPr>
          <w:noProof/>
        </w:rPr>
        <w:t>1</w:t>
      </w:r>
      <w:r w:rsidR="00236EB6">
        <w:rPr>
          <w:noProof/>
        </w:rPr>
        <w:fldChar w:fldCharType="end"/>
      </w:r>
      <w:r w:rsidRPr="00CA400C">
        <w:t>.</w:t>
      </w:r>
      <w:proofErr w:type="gramEnd"/>
      <w:r w:rsidRPr="00CA400C">
        <w:t xml:space="preserve"> Current clinical treatment algorithm for unresectable recurrent or metastatic squamous</w:t>
      </w:r>
      <w:r w:rsidRPr="00CA400C">
        <w:noBreakHyphen/>
        <w:t>cell carcinoma of the head and neck (SCCHN) in the absence of PD</w:t>
      </w:r>
      <w:r w:rsidRPr="00CA400C">
        <w:noBreakHyphen/>
        <w:t>L1 testing</w:t>
      </w:r>
    </w:p>
    <w:p w14:paraId="57714779" w14:textId="77777777" w:rsidR="00190FE5" w:rsidRPr="00CA400C" w:rsidRDefault="00190FE5" w:rsidP="00190FE5">
      <w:pPr>
        <w:ind w:left="426"/>
      </w:pPr>
      <w:r w:rsidRPr="00CA400C">
        <w:t xml:space="preserve">As shown in </w:t>
      </w:r>
      <w:r w:rsidRPr="00CA400C">
        <w:fldChar w:fldCharType="begin"/>
      </w:r>
      <w:r w:rsidRPr="00CA400C">
        <w:instrText xml:space="preserve"> REF _Ref478377856 \h  \* MERGEFORMAT </w:instrText>
      </w:r>
      <w:r w:rsidRPr="00CA400C">
        <w:fldChar w:fldCharType="separate"/>
      </w:r>
      <w:r w:rsidRPr="00CA400C">
        <w:t xml:space="preserve">Figure </w:t>
      </w:r>
      <w:r w:rsidRPr="00CA400C">
        <w:rPr>
          <w:noProof/>
        </w:rPr>
        <w:t>1</w:t>
      </w:r>
      <w:r w:rsidRPr="00CA400C">
        <w:fldChar w:fldCharType="end"/>
      </w:r>
      <w:r w:rsidRPr="00CA400C">
        <w:t>, first</w:t>
      </w:r>
      <w:r w:rsidRPr="00CA400C">
        <w:noBreakHyphen/>
        <w:t>line treatment for unresectable metastatic or recurrent SCCHN comprises chemotherapy in combination with other agents or radiotherapy. A variety of drugs may be used in the first</w:t>
      </w:r>
      <w:r w:rsidRPr="00CA400C">
        <w:noBreakHyphen/>
        <w:t xml:space="preserve">line setting and the treatment regimen chosen will reflect the patient’s general health and prognosis </w:t>
      </w:r>
      <w:r w:rsidRPr="00CA400C">
        <w:rPr>
          <w:szCs w:val="20"/>
        </w:rPr>
        <w:t>(</w:t>
      </w:r>
      <w:proofErr w:type="spellStart"/>
      <w:r w:rsidRPr="00CA400C">
        <w:rPr>
          <w:szCs w:val="20"/>
        </w:rPr>
        <w:t>Deschler</w:t>
      </w:r>
      <w:proofErr w:type="spellEnd"/>
      <w:r w:rsidRPr="00CA400C">
        <w:rPr>
          <w:szCs w:val="20"/>
        </w:rPr>
        <w:t xml:space="preserve"> et al 2014)</w:t>
      </w:r>
      <w:r w:rsidRPr="00CA400C">
        <w:t>. Currently available therapies, while offering some survival benefit to patients, are palliative and the incremental increase in life expectancy is low.</w:t>
      </w:r>
    </w:p>
    <w:p w14:paraId="2FCFC260" w14:textId="77777777" w:rsidR="00190FE5" w:rsidRPr="00CA400C" w:rsidRDefault="00190FE5" w:rsidP="00190FE5">
      <w:pPr>
        <w:ind w:left="426"/>
      </w:pPr>
      <w:r w:rsidRPr="00CA400C">
        <w:t>When the disease progresses, effective treatment options are limited and are, again, palliative. Previously</w:t>
      </w:r>
      <w:r w:rsidRPr="00CA400C">
        <w:noBreakHyphen/>
        <w:t>treated patients with unresectable tumours may receive one or more agents, including platinum</w:t>
      </w:r>
      <w:r w:rsidRPr="00CA400C">
        <w:noBreakHyphen/>
        <w:t xml:space="preserve">based chemotherapy in combination with </w:t>
      </w:r>
      <w:proofErr w:type="spellStart"/>
      <w:r w:rsidRPr="00CA400C">
        <w:t>cetuximab</w:t>
      </w:r>
      <w:proofErr w:type="spellEnd"/>
      <w:r w:rsidRPr="00CA400C">
        <w:t xml:space="preserve">; cisplatin/carboplatin in combination with </w:t>
      </w:r>
      <w:proofErr w:type="spellStart"/>
      <w:r w:rsidRPr="00CA400C">
        <w:t>cetuximab</w:t>
      </w:r>
      <w:proofErr w:type="spellEnd"/>
      <w:r w:rsidRPr="00CA400C">
        <w:t xml:space="preserve"> and 5</w:t>
      </w:r>
      <w:r w:rsidRPr="00CA400C">
        <w:noBreakHyphen/>
        <w:t xml:space="preserve">fluoruracil (the EXTREME regimen; </w:t>
      </w:r>
      <w:proofErr w:type="spellStart"/>
      <w:r w:rsidRPr="00CA400C">
        <w:t>Vermorken</w:t>
      </w:r>
      <w:proofErr w:type="spellEnd"/>
      <w:r w:rsidRPr="00CA400C">
        <w:t xml:space="preserve"> et al 2008); or other therapies such as </w:t>
      </w:r>
      <w:proofErr w:type="spellStart"/>
      <w:r w:rsidRPr="00CA400C">
        <w:t>taxanes</w:t>
      </w:r>
      <w:proofErr w:type="spellEnd"/>
      <w:r w:rsidRPr="00CA400C">
        <w:t xml:space="preserve">, methotrexate, </w:t>
      </w:r>
      <w:proofErr w:type="spellStart"/>
      <w:r w:rsidRPr="00CA400C">
        <w:t>pemetrexed</w:t>
      </w:r>
      <w:proofErr w:type="spellEnd"/>
      <w:r w:rsidRPr="00CA400C">
        <w:t xml:space="preserve">, </w:t>
      </w:r>
      <w:proofErr w:type="spellStart"/>
      <w:r w:rsidRPr="00CA400C">
        <w:t>capecitabine</w:t>
      </w:r>
      <w:proofErr w:type="spellEnd"/>
      <w:r w:rsidRPr="00CA400C">
        <w:t xml:space="preserve">, or </w:t>
      </w:r>
      <w:proofErr w:type="spellStart"/>
      <w:r w:rsidRPr="00CA400C">
        <w:t>vinorelbine</w:t>
      </w:r>
      <w:proofErr w:type="spellEnd"/>
      <w:r w:rsidRPr="00CA400C">
        <w:t>.</w:t>
      </w:r>
    </w:p>
    <w:p w14:paraId="5060B969" w14:textId="2858D839" w:rsidR="00190FE5" w:rsidRPr="00CA400C" w:rsidRDefault="00190FE5" w:rsidP="00190FE5">
      <w:pPr>
        <w:ind w:left="426"/>
        <w:rPr>
          <w:szCs w:val="20"/>
        </w:rPr>
      </w:pPr>
      <w:r w:rsidRPr="00CA400C">
        <w:rPr>
          <w:szCs w:val="20"/>
        </w:rPr>
        <w:t>These treatments are associated with significant toxicity. Further, while some regimens have demonstrated some improvement in survival (</w:t>
      </w:r>
      <w:proofErr w:type="spellStart"/>
      <w:r w:rsidRPr="00CA400C">
        <w:rPr>
          <w:szCs w:val="20"/>
        </w:rPr>
        <w:t>Vermorken</w:t>
      </w:r>
      <w:proofErr w:type="spellEnd"/>
      <w:r w:rsidRPr="00CA400C">
        <w:rPr>
          <w:szCs w:val="20"/>
        </w:rPr>
        <w:t xml:space="preserve"> et al 2008), response rates vary and the duration of the survival benefit remains relatively short (</w:t>
      </w:r>
      <w:proofErr w:type="spellStart"/>
      <w:r w:rsidRPr="00CA400C">
        <w:rPr>
          <w:szCs w:val="20"/>
        </w:rPr>
        <w:t>Deschler</w:t>
      </w:r>
      <w:proofErr w:type="spellEnd"/>
      <w:r w:rsidRPr="00CA400C">
        <w:rPr>
          <w:szCs w:val="20"/>
        </w:rPr>
        <w:t xml:space="preserve"> et al 2014; </w:t>
      </w:r>
      <w:proofErr w:type="spellStart"/>
      <w:r w:rsidRPr="00CA400C">
        <w:rPr>
          <w:szCs w:val="20"/>
        </w:rPr>
        <w:t>Tinhofer</w:t>
      </w:r>
      <w:proofErr w:type="spellEnd"/>
      <w:r w:rsidRPr="00CA400C">
        <w:rPr>
          <w:szCs w:val="20"/>
        </w:rPr>
        <w:t xml:space="preserve"> et al 2016). There is a compelling need for more effective therapies for patients with SCCHN who are not eligible for surgical resection.</w:t>
      </w:r>
    </w:p>
    <w:p w14:paraId="29B5D780" w14:textId="77777777" w:rsidR="00190FE5" w:rsidRPr="00CA400C" w:rsidRDefault="00190FE5" w:rsidP="00190FE5">
      <w:pPr>
        <w:ind w:left="426"/>
        <w:rPr>
          <w:b/>
          <w:i/>
          <w:sz w:val="16"/>
        </w:rPr>
      </w:pPr>
      <w:r w:rsidRPr="00CA400C">
        <w:rPr>
          <w:b/>
          <w:i/>
          <w:sz w:val="16"/>
        </w:rPr>
        <w:t>References</w:t>
      </w:r>
    </w:p>
    <w:p w14:paraId="4019019F" w14:textId="77777777" w:rsidR="00190FE5" w:rsidRPr="00CA400C" w:rsidRDefault="00190FE5" w:rsidP="00190FE5">
      <w:pPr>
        <w:ind w:left="426"/>
        <w:rPr>
          <w:sz w:val="16"/>
          <w:szCs w:val="16"/>
        </w:rPr>
      </w:pPr>
      <w:proofErr w:type="spellStart"/>
      <w:r w:rsidRPr="00CA400C">
        <w:rPr>
          <w:sz w:val="16"/>
          <w:szCs w:val="16"/>
        </w:rPr>
        <w:t>Deschler</w:t>
      </w:r>
      <w:proofErr w:type="spellEnd"/>
      <w:r w:rsidRPr="00CA400C">
        <w:rPr>
          <w:sz w:val="16"/>
          <w:szCs w:val="16"/>
        </w:rPr>
        <w:t xml:space="preserve"> DG, Moore MG, Smith RV, eds. Quick Reference Guide to TNM Staging of Head and Neck Cancer and Neck Dissection Classification, 4th ed. Alexandria, VA: American Academy of Otolaryngology–Head and Neck Surgery Foundation, 2014.</w:t>
      </w:r>
    </w:p>
    <w:p w14:paraId="1A600C7A" w14:textId="77777777" w:rsidR="00190FE5" w:rsidRPr="00CA400C" w:rsidRDefault="00190FE5" w:rsidP="00190FE5">
      <w:pPr>
        <w:rPr>
          <w:sz w:val="16"/>
          <w:szCs w:val="16"/>
        </w:rPr>
      </w:pPr>
      <w:proofErr w:type="spellStart"/>
      <w:proofErr w:type="gramStart"/>
      <w:r w:rsidRPr="00CA400C">
        <w:rPr>
          <w:sz w:val="16"/>
          <w:szCs w:val="16"/>
        </w:rPr>
        <w:t>Tinhofer</w:t>
      </w:r>
      <w:proofErr w:type="spellEnd"/>
      <w:r w:rsidRPr="00CA400C">
        <w:rPr>
          <w:sz w:val="16"/>
          <w:szCs w:val="16"/>
        </w:rPr>
        <w:t xml:space="preserve"> I et al.</w:t>
      </w:r>
      <w:proofErr w:type="gramEnd"/>
      <w:r w:rsidRPr="00CA400C">
        <w:rPr>
          <w:sz w:val="16"/>
          <w:szCs w:val="16"/>
        </w:rPr>
        <w:t xml:space="preserve"> </w:t>
      </w:r>
      <w:proofErr w:type="gramStart"/>
      <w:r w:rsidRPr="00CA400C">
        <w:rPr>
          <w:sz w:val="16"/>
          <w:szCs w:val="16"/>
        </w:rPr>
        <w:t>The rationale for including immune checkpoint inhibition into multimodal primary treatment concepts of head and neck cancer.</w:t>
      </w:r>
      <w:proofErr w:type="gramEnd"/>
      <w:r w:rsidRPr="00CA400C">
        <w:rPr>
          <w:sz w:val="16"/>
          <w:szCs w:val="16"/>
        </w:rPr>
        <w:t xml:space="preserve"> Cancers of the Head &amp; Neck 2016; 1:8. </w:t>
      </w:r>
      <w:proofErr w:type="gramStart"/>
      <w:r w:rsidRPr="00CA400C">
        <w:rPr>
          <w:sz w:val="16"/>
          <w:szCs w:val="16"/>
        </w:rPr>
        <w:t>DOI 10.1186/s41199</w:t>
      </w:r>
      <w:r w:rsidRPr="00CA400C">
        <w:rPr>
          <w:sz w:val="16"/>
          <w:szCs w:val="16"/>
        </w:rPr>
        <w:noBreakHyphen/>
        <w:t>016</w:t>
      </w:r>
      <w:r w:rsidRPr="00CA400C">
        <w:rPr>
          <w:sz w:val="16"/>
          <w:szCs w:val="16"/>
        </w:rPr>
        <w:noBreakHyphen/>
        <w:t>0009</w:t>
      </w:r>
      <w:r w:rsidRPr="00CA400C">
        <w:rPr>
          <w:sz w:val="16"/>
          <w:szCs w:val="16"/>
        </w:rPr>
        <w:noBreakHyphen/>
        <w:t>6.</w:t>
      </w:r>
      <w:proofErr w:type="gramEnd"/>
    </w:p>
    <w:p w14:paraId="71CB6462" w14:textId="77777777" w:rsidR="00190FE5" w:rsidRPr="00CA400C" w:rsidRDefault="00190FE5" w:rsidP="00190FE5">
      <w:pPr>
        <w:rPr>
          <w:sz w:val="16"/>
        </w:rPr>
      </w:pPr>
      <w:proofErr w:type="spellStart"/>
      <w:proofErr w:type="gramStart"/>
      <w:r w:rsidRPr="00CA400C">
        <w:rPr>
          <w:sz w:val="16"/>
        </w:rPr>
        <w:t>Vermorken</w:t>
      </w:r>
      <w:proofErr w:type="spellEnd"/>
      <w:r w:rsidRPr="00CA400C">
        <w:rPr>
          <w:sz w:val="16"/>
        </w:rPr>
        <w:t xml:space="preserve"> JB et al. Platinum</w:t>
      </w:r>
      <w:r w:rsidRPr="00CA400C">
        <w:rPr>
          <w:sz w:val="16"/>
        </w:rPr>
        <w:noBreakHyphen/>
        <w:t xml:space="preserve">Based Chemotherapy plus </w:t>
      </w:r>
      <w:proofErr w:type="spellStart"/>
      <w:r w:rsidRPr="00CA400C">
        <w:rPr>
          <w:sz w:val="16"/>
        </w:rPr>
        <w:t>Cetuximab</w:t>
      </w:r>
      <w:proofErr w:type="spellEnd"/>
      <w:r w:rsidRPr="00CA400C">
        <w:rPr>
          <w:sz w:val="16"/>
        </w:rPr>
        <w:t xml:space="preserve"> in Head and Neck Cancer.</w:t>
      </w:r>
      <w:proofErr w:type="gramEnd"/>
      <w:r w:rsidRPr="00CA400C">
        <w:rPr>
          <w:sz w:val="16"/>
        </w:rPr>
        <w:t xml:space="preserve"> </w:t>
      </w:r>
      <w:r w:rsidRPr="00CA400C">
        <w:rPr>
          <w:iCs/>
          <w:sz w:val="16"/>
        </w:rPr>
        <w:t xml:space="preserve">N </w:t>
      </w:r>
      <w:proofErr w:type="spellStart"/>
      <w:r w:rsidRPr="00CA400C">
        <w:rPr>
          <w:iCs/>
          <w:sz w:val="16"/>
        </w:rPr>
        <w:t>Engl</w:t>
      </w:r>
      <w:proofErr w:type="spellEnd"/>
      <w:r w:rsidRPr="00CA400C">
        <w:rPr>
          <w:iCs/>
          <w:sz w:val="16"/>
        </w:rPr>
        <w:t xml:space="preserve"> J Med</w:t>
      </w:r>
      <w:r w:rsidRPr="00CA400C">
        <w:rPr>
          <w:sz w:val="16"/>
        </w:rPr>
        <w:t xml:space="preserve"> 2008; 359(11): 1116–1127.</w:t>
      </w:r>
    </w:p>
    <w:p w14:paraId="35470B52" w14:textId="77777777" w:rsidR="00A83EC6" w:rsidRPr="00CA400C" w:rsidRDefault="005C3AE7" w:rsidP="00530204">
      <w:pPr>
        <w:pStyle w:val="Heading2"/>
      </w:pPr>
      <w:r w:rsidRPr="00CA400C">
        <w:t xml:space="preserve">(a) </w:t>
      </w:r>
      <w:r w:rsidR="00CD7A7D" w:rsidRPr="00CA400C">
        <w:t xml:space="preserve">Will </w:t>
      </w:r>
      <w:r w:rsidR="00A83EC6" w:rsidRPr="00CA400C">
        <w:t>the proposed medical service be used in addition to, or instead of, the nominated comparator(s)</w:t>
      </w:r>
      <w:r w:rsidR="00D30BDC" w:rsidRPr="00CA400C">
        <w:t>?</w:t>
      </w:r>
    </w:p>
    <w:p w14:paraId="018A2674" w14:textId="77777777" w:rsidR="001B29A1" w:rsidRPr="00CA400C" w:rsidRDefault="00B404CE" w:rsidP="001B29A1">
      <w:pPr>
        <w:spacing w:before="0" w:after="0"/>
        <w:ind w:left="426"/>
        <w:rPr>
          <w:szCs w:val="20"/>
        </w:rPr>
      </w:pPr>
      <w:r w:rsidRPr="00CA400C">
        <w:rPr>
          <w:szCs w:val="20"/>
        </w:rPr>
        <w:fldChar w:fldCharType="begin">
          <w:ffData>
            <w:name w:val=""/>
            <w:enabled/>
            <w:calcOnExit w:val="0"/>
            <w:checkBox>
              <w:sizeAuto/>
              <w:default w:val="1"/>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001B29A1" w:rsidRPr="00CA400C">
        <w:rPr>
          <w:szCs w:val="20"/>
        </w:rPr>
        <w:t xml:space="preserve"> Yes </w:t>
      </w:r>
    </w:p>
    <w:p w14:paraId="2BF1E591" w14:textId="77777777" w:rsidR="001B29A1" w:rsidRPr="00CA400C" w:rsidRDefault="001B29A1" w:rsidP="001B29A1">
      <w:pPr>
        <w:spacing w:before="0" w:after="0"/>
        <w:ind w:left="426"/>
        <w:rPr>
          <w:szCs w:val="20"/>
        </w:rPr>
      </w:pPr>
      <w:r w:rsidRPr="00CA400C">
        <w:rPr>
          <w:szCs w:val="20"/>
        </w:rPr>
        <w:fldChar w:fldCharType="begin">
          <w:ffData>
            <w:name w:val="Check2"/>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Pr="00CA400C">
        <w:rPr>
          <w:szCs w:val="20"/>
        </w:rPr>
        <w:t xml:space="preserve"> No  </w:t>
      </w:r>
    </w:p>
    <w:p w14:paraId="7A00B2B5" w14:textId="77777777" w:rsidR="00E70D86" w:rsidRPr="00CA400C" w:rsidRDefault="00E70D86" w:rsidP="005C3AE7">
      <w:pPr>
        <w:pStyle w:val="Heading2"/>
        <w:numPr>
          <w:ilvl w:val="0"/>
          <w:numId w:val="30"/>
        </w:numPr>
      </w:pPr>
      <w:r w:rsidRPr="00CA400C">
        <w:lastRenderedPageBreak/>
        <w:t xml:space="preserve">If </w:t>
      </w:r>
      <w:r w:rsidR="00D00122" w:rsidRPr="00CA400C">
        <w:t xml:space="preserve">yes, </w:t>
      </w:r>
      <w:r w:rsidRPr="00CA400C">
        <w:t xml:space="preserve">please </w:t>
      </w:r>
      <w:r w:rsidR="00F33F1A" w:rsidRPr="00CA400C">
        <w:t xml:space="preserve">outline </w:t>
      </w:r>
      <w:r w:rsidRPr="00CA400C">
        <w:t xml:space="preserve">the extent </w:t>
      </w:r>
      <w:r w:rsidR="00462595" w:rsidRPr="00CA400C">
        <w:t>to</w:t>
      </w:r>
      <w:r w:rsidRPr="00CA400C">
        <w:t xml:space="preserve"> </w:t>
      </w:r>
      <w:r w:rsidR="00F33F1A" w:rsidRPr="00CA400C">
        <w:t xml:space="preserve">which </w:t>
      </w:r>
      <w:r w:rsidR="00D00122" w:rsidRPr="00CA400C">
        <w:t xml:space="preserve">the </w:t>
      </w:r>
      <w:r w:rsidR="00F33F1A" w:rsidRPr="00CA400C">
        <w:t xml:space="preserve">current service/comparator is expected to be </w:t>
      </w:r>
      <w:r w:rsidR="00AE1188" w:rsidRPr="00CA400C">
        <w:t>substituted:</w:t>
      </w:r>
    </w:p>
    <w:p w14:paraId="07D4B697" w14:textId="045076D6" w:rsidR="003433D1" w:rsidRPr="00CA400C" w:rsidRDefault="002466BF" w:rsidP="001B29A1">
      <w:pPr>
        <w:ind w:left="426"/>
      </w:pPr>
      <w:r w:rsidRPr="00CA400C">
        <w:t>The proposed medical service (PD</w:t>
      </w:r>
      <w:r w:rsidR="00B25D32" w:rsidRPr="00CA400C">
        <w:noBreakHyphen/>
      </w:r>
      <w:r w:rsidRPr="00CA400C">
        <w:t>L1 testing) will be used instead of the comparator (no testing). The proposed treatments</w:t>
      </w:r>
      <w:r w:rsidR="00854EAE" w:rsidRPr="00CA400C">
        <w:t>,</w:t>
      </w:r>
      <w:r w:rsidRPr="00CA400C">
        <w:t xml:space="preserve"> </w:t>
      </w:r>
      <w:proofErr w:type="spellStart"/>
      <w:r w:rsidRPr="00CA400C">
        <w:t>durvalumab</w:t>
      </w:r>
      <w:proofErr w:type="spellEnd"/>
      <w:r w:rsidRPr="00CA400C">
        <w:t xml:space="preserve"> monotherapy or </w:t>
      </w:r>
      <w:proofErr w:type="spellStart"/>
      <w:r w:rsidRPr="00CA400C">
        <w:t>durvalumab</w:t>
      </w:r>
      <w:proofErr w:type="spellEnd"/>
      <w:r w:rsidRPr="00CA400C">
        <w:t>/</w:t>
      </w:r>
      <w:proofErr w:type="spellStart"/>
      <w:r w:rsidRPr="00CA400C">
        <w:t>tremelimumab</w:t>
      </w:r>
      <w:proofErr w:type="spellEnd"/>
      <w:r w:rsidRPr="00CA400C">
        <w:t xml:space="preserve"> combination therapy</w:t>
      </w:r>
      <w:r w:rsidR="00854EAE" w:rsidRPr="00CA400C">
        <w:t>,</w:t>
      </w:r>
      <w:r w:rsidRPr="00CA400C">
        <w:t xml:space="preserve"> would be used instead</w:t>
      </w:r>
      <w:r w:rsidR="005C0140" w:rsidRPr="00CA400C">
        <w:t xml:space="preserve"> </w:t>
      </w:r>
      <w:r w:rsidR="005D414A" w:rsidRPr="00CA400C">
        <w:t xml:space="preserve">of </w:t>
      </w:r>
      <w:r w:rsidR="005C0140" w:rsidRPr="00CA400C">
        <w:t xml:space="preserve">chemotherapy-based regimens, </w:t>
      </w:r>
      <w:r w:rsidR="0079540F" w:rsidRPr="00CA400C">
        <w:t>the currently available standard of care</w:t>
      </w:r>
      <w:r w:rsidRPr="00CA400C">
        <w:t xml:space="preserve">. </w:t>
      </w:r>
    </w:p>
    <w:p w14:paraId="5491975F" w14:textId="20C2B8B4" w:rsidR="004B7E6D" w:rsidRPr="00CA400C" w:rsidRDefault="004B7E6D" w:rsidP="001B29A1">
      <w:pPr>
        <w:ind w:left="426"/>
        <w:rPr>
          <w:szCs w:val="20"/>
        </w:rPr>
      </w:pPr>
      <w:r w:rsidRPr="00CA400C">
        <w:t xml:space="preserve">It is expected that PD-L1 testing and subsequent treatment with </w:t>
      </w:r>
      <w:proofErr w:type="spellStart"/>
      <w:r w:rsidRPr="00CA400C">
        <w:t>durvalumab</w:t>
      </w:r>
      <w:proofErr w:type="spellEnd"/>
      <w:r w:rsidRPr="00CA400C">
        <w:t xml:space="preserve"> ± </w:t>
      </w:r>
      <w:proofErr w:type="spellStart"/>
      <w:r w:rsidRPr="00CA400C">
        <w:t>tremelimumab</w:t>
      </w:r>
      <w:proofErr w:type="spellEnd"/>
      <w:r w:rsidRPr="00CA400C">
        <w:t xml:space="preserve"> will become the new standard of care over time; therefore, the majority of patients will receive PD-L1 testing as a normal part of their treatment regimen.</w:t>
      </w:r>
    </w:p>
    <w:p w14:paraId="066D7F39" w14:textId="77777777" w:rsidR="0054594B" w:rsidRPr="00CA400C" w:rsidRDefault="009C03FB" w:rsidP="00530204">
      <w:pPr>
        <w:pStyle w:val="Heading2"/>
      </w:pPr>
      <w:r w:rsidRPr="00CA400C">
        <w:t>Define and summarise how</w:t>
      </w:r>
      <w:r w:rsidR="00F33F1A" w:rsidRPr="00CA400C">
        <w:t xml:space="preserve"> curr</w:t>
      </w:r>
      <w:r w:rsidRPr="00CA400C">
        <w:t>ent clinical management pathways (from the point of service delivery onwards) are</w:t>
      </w:r>
      <w:r w:rsidR="00F33F1A" w:rsidRPr="00CA400C">
        <w:t xml:space="preserve"> expected to change as a consequence of introducing the proposed medical service </w:t>
      </w:r>
      <w:r w:rsidR="007D2358" w:rsidRPr="00CA400C">
        <w:t xml:space="preserve">including variation in health care resources </w:t>
      </w:r>
      <w:r w:rsidRPr="00CA400C">
        <w:t>(</w:t>
      </w:r>
      <w:r w:rsidR="002053F2" w:rsidRPr="00CA400C">
        <w:t xml:space="preserve">Refer to </w:t>
      </w:r>
      <w:r w:rsidR="00F33F1A" w:rsidRPr="00CA400C">
        <w:t xml:space="preserve">Question </w:t>
      </w:r>
      <w:r w:rsidR="00197D29" w:rsidRPr="00CA400C">
        <w:t>39</w:t>
      </w:r>
      <w:r w:rsidR="00F33F1A" w:rsidRPr="00CA400C">
        <w:t xml:space="preserve"> as baseline)</w:t>
      </w:r>
      <w:r w:rsidR="00AE1188" w:rsidRPr="00CA400C">
        <w:t>:</w:t>
      </w:r>
    </w:p>
    <w:p w14:paraId="3D0D0F13" w14:textId="346A4074" w:rsidR="00190FE5" w:rsidRPr="00CA400C" w:rsidRDefault="00190FE5" w:rsidP="00190FE5">
      <w:pPr>
        <w:ind w:left="426"/>
      </w:pPr>
      <w:r w:rsidRPr="00CA400C">
        <w:rPr>
          <w:szCs w:val="20"/>
        </w:rPr>
        <w:fldChar w:fldCharType="begin"/>
      </w:r>
      <w:r w:rsidRPr="00CA400C">
        <w:rPr>
          <w:szCs w:val="20"/>
        </w:rPr>
        <w:instrText xml:space="preserve"> REF _Ref478384625 \h  \* MERGEFORMAT </w:instrText>
      </w:r>
      <w:r w:rsidRPr="00CA400C">
        <w:rPr>
          <w:szCs w:val="20"/>
        </w:rPr>
      </w:r>
      <w:r w:rsidRPr="00CA400C">
        <w:rPr>
          <w:szCs w:val="20"/>
        </w:rPr>
        <w:fldChar w:fldCharType="separate"/>
      </w:r>
      <w:r w:rsidR="004B7E6D" w:rsidRPr="00CA400C">
        <w:rPr>
          <w:szCs w:val="20"/>
        </w:rPr>
        <w:t xml:space="preserve">Figure </w:t>
      </w:r>
      <w:r w:rsidR="004B7E6D" w:rsidRPr="00CA400C">
        <w:rPr>
          <w:noProof/>
          <w:szCs w:val="20"/>
        </w:rPr>
        <w:t>2</w:t>
      </w:r>
      <w:r w:rsidRPr="00CA400C">
        <w:rPr>
          <w:szCs w:val="20"/>
        </w:rPr>
        <w:fldChar w:fldCharType="end"/>
      </w:r>
      <w:r w:rsidRPr="00CA400C">
        <w:rPr>
          <w:szCs w:val="20"/>
        </w:rPr>
        <w:t xml:space="preserve"> summarises </w:t>
      </w:r>
      <w:r w:rsidRPr="00CA400C">
        <w:t>the ways in which the treatment algorithm for patients with recurrent or metastatic SCCHN are likely to change with the MBS listing of PD</w:t>
      </w:r>
      <w:r w:rsidRPr="00CA400C">
        <w:noBreakHyphen/>
        <w:t xml:space="preserve">L1 testing and PBS listing of </w:t>
      </w:r>
      <w:proofErr w:type="spellStart"/>
      <w:r w:rsidRPr="00CA400C">
        <w:t>durvalumab</w:t>
      </w:r>
      <w:proofErr w:type="spellEnd"/>
      <w:r w:rsidRPr="00CA400C">
        <w:t xml:space="preserve"> and </w:t>
      </w:r>
      <w:proofErr w:type="spellStart"/>
      <w:r w:rsidRPr="00CA400C">
        <w:t>tremelimumab</w:t>
      </w:r>
      <w:proofErr w:type="spellEnd"/>
      <w:r w:rsidRPr="00CA400C">
        <w:t xml:space="preserve"> for this indication. The boxes in darker blue indicate the proposed changes to the current treatment algorithm (</w:t>
      </w:r>
      <w:r w:rsidRPr="00CA400C">
        <w:fldChar w:fldCharType="begin"/>
      </w:r>
      <w:r w:rsidRPr="00CA400C">
        <w:instrText xml:space="preserve"> REF _Ref478377856 \h  \* MERGEFORMAT </w:instrText>
      </w:r>
      <w:r w:rsidRPr="00CA400C">
        <w:fldChar w:fldCharType="separate"/>
      </w:r>
      <w:r w:rsidRPr="00CA400C">
        <w:t xml:space="preserve">Figure </w:t>
      </w:r>
      <w:r w:rsidRPr="00CA400C">
        <w:rPr>
          <w:noProof/>
        </w:rPr>
        <w:t>1</w:t>
      </w:r>
      <w:r w:rsidRPr="00CA400C">
        <w:fldChar w:fldCharType="end"/>
      </w:r>
      <w:proofErr w:type="gramStart"/>
      <w:r w:rsidRPr="00CA400C">
        <w:t>,</w:t>
      </w:r>
      <w:proofErr w:type="gramEnd"/>
      <w:r w:rsidRPr="00CA400C">
        <w:t xml:space="preserve"> reproduced below for convenience).</w:t>
      </w:r>
    </w:p>
    <w:p w14:paraId="39082717" w14:textId="77777777" w:rsidR="00190FE5" w:rsidRPr="00CA400C" w:rsidRDefault="00190FE5" w:rsidP="00190FE5">
      <w:pPr>
        <w:spacing w:before="0" w:after="200" w:line="276" w:lineRule="auto"/>
        <w:ind w:left="0"/>
      </w:pPr>
      <w:r w:rsidRPr="00CA400C">
        <w:br w:type="page"/>
      </w:r>
    </w:p>
    <w:p w14:paraId="08D0795F" w14:textId="77777777" w:rsidR="00190FE5" w:rsidRPr="00CA400C" w:rsidRDefault="00190FE5" w:rsidP="00190FE5">
      <w:pPr>
        <w:ind w:left="426"/>
      </w:pPr>
    </w:p>
    <w:p w14:paraId="40CCE716" w14:textId="77777777" w:rsidR="00190FE5" w:rsidRPr="00CA400C" w:rsidRDefault="00190FE5" w:rsidP="00190FE5">
      <w:pPr>
        <w:ind w:left="426"/>
      </w:pPr>
      <w:r w:rsidRPr="00CA400C">
        <w:rPr>
          <w:noProof/>
          <w:lang w:eastAsia="en-AU"/>
        </w:rPr>
        <w:drawing>
          <wp:inline distT="0" distB="0" distL="0" distR="0" wp14:anchorId="4FC9B986" wp14:editId="11718906">
            <wp:extent cx="5203666" cy="4126727"/>
            <wp:effectExtent l="0" t="0" r="0" b="7620"/>
            <wp:docPr id="7" name="Picture 7" descr="Figure 1. Current clinical treatment algorithm for unresectable recurrent or metastatic squamous cell carcinoma of the head and neck (SCCHN) in the absence of PD L1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08144" cy="4130278"/>
                    </a:xfrm>
                    <a:prstGeom prst="rect">
                      <a:avLst/>
                    </a:prstGeom>
                    <a:noFill/>
                    <a:ln>
                      <a:noFill/>
                    </a:ln>
                  </pic:spPr>
                </pic:pic>
              </a:graphicData>
            </a:graphic>
          </wp:inline>
        </w:drawing>
      </w:r>
    </w:p>
    <w:p w14:paraId="0FCA0BF7" w14:textId="77777777" w:rsidR="00190FE5" w:rsidRPr="00CA400C" w:rsidRDefault="00190FE5" w:rsidP="00190FE5">
      <w:pPr>
        <w:pStyle w:val="Caption"/>
      </w:pPr>
      <w:proofErr w:type="gramStart"/>
      <w:r w:rsidRPr="00CA400C">
        <w:t>Figure 1.</w:t>
      </w:r>
      <w:proofErr w:type="gramEnd"/>
      <w:r w:rsidRPr="00CA400C">
        <w:t xml:space="preserve"> Current clinical treatment algorithm for unresectable recurrent or metastatic squamous</w:t>
      </w:r>
      <w:r w:rsidRPr="00CA400C">
        <w:noBreakHyphen/>
        <w:t>cell carcinoma of the head and neck (SCCHN) in the absence of PD</w:t>
      </w:r>
      <w:r w:rsidRPr="00CA400C">
        <w:noBreakHyphen/>
        <w:t>L1 testing</w:t>
      </w:r>
    </w:p>
    <w:p w14:paraId="5539B575" w14:textId="77777777" w:rsidR="00190FE5" w:rsidRPr="00CA400C" w:rsidRDefault="00190FE5" w:rsidP="00190FE5">
      <w:pPr>
        <w:ind w:left="426"/>
      </w:pPr>
    </w:p>
    <w:p w14:paraId="21F32239" w14:textId="77777777" w:rsidR="00190FE5" w:rsidRPr="00CA400C" w:rsidRDefault="00190FE5" w:rsidP="00190FE5">
      <w:pPr>
        <w:ind w:left="426"/>
      </w:pPr>
      <w:r w:rsidRPr="00CA400C">
        <w:rPr>
          <w:noProof/>
          <w:lang w:eastAsia="en-AU"/>
        </w:rPr>
        <w:drawing>
          <wp:inline distT="0" distB="0" distL="0" distR="0" wp14:anchorId="71F2878A" wp14:editId="39B8C501">
            <wp:extent cx="5731510" cy="2971137"/>
            <wp:effectExtent l="0" t="0" r="2540" b="1270"/>
            <wp:docPr id="6" name="Picture 6" descr="Figure 2. Proposed clinical treatment algorithm for unresectable recurrent or metastatic squamous cell carcinoma of the head and neck (SCCHN) with PD L1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971137"/>
                    </a:xfrm>
                    <a:prstGeom prst="rect">
                      <a:avLst/>
                    </a:prstGeom>
                    <a:noFill/>
                    <a:ln>
                      <a:noFill/>
                    </a:ln>
                  </pic:spPr>
                </pic:pic>
              </a:graphicData>
            </a:graphic>
          </wp:inline>
        </w:drawing>
      </w:r>
    </w:p>
    <w:p w14:paraId="07749A96" w14:textId="3EA375A8" w:rsidR="00190FE5" w:rsidRPr="00CA400C" w:rsidRDefault="00190FE5" w:rsidP="00190FE5">
      <w:pPr>
        <w:pStyle w:val="Caption"/>
        <w:ind w:left="426"/>
      </w:pPr>
      <w:bookmarkStart w:id="3" w:name="_Ref478384625"/>
      <w:proofErr w:type="gramStart"/>
      <w:r w:rsidRPr="00CA400C">
        <w:t xml:space="preserve">Figure </w:t>
      </w:r>
      <w:r w:rsidR="00236EB6">
        <w:fldChar w:fldCharType="begin"/>
      </w:r>
      <w:r w:rsidR="00236EB6">
        <w:instrText xml:space="preserve"> SEQ Figure \* ARABIC </w:instrText>
      </w:r>
      <w:r w:rsidR="00236EB6">
        <w:fldChar w:fldCharType="separate"/>
      </w:r>
      <w:r w:rsidR="004B7E6D" w:rsidRPr="00CA400C">
        <w:rPr>
          <w:noProof/>
        </w:rPr>
        <w:t>2</w:t>
      </w:r>
      <w:r w:rsidR="00236EB6">
        <w:rPr>
          <w:noProof/>
        </w:rPr>
        <w:fldChar w:fldCharType="end"/>
      </w:r>
      <w:bookmarkEnd w:id="3"/>
      <w:r w:rsidRPr="00CA400C">
        <w:t>.</w:t>
      </w:r>
      <w:proofErr w:type="gramEnd"/>
      <w:r w:rsidRPr="00CA400C">
        <w:t xml:space="preserve"> Proposed clinical treatment algorithm for unresectable recurrent or metastatic squamous</w:t>
      </w:r>
      <w:r w:rsidRPr="00CA400C">
        <w:noBreakHyphen/>
        <w:t>cell carcinoma of the head and neck (SCCHN) with PD</w:t>
      </w:r>
      <w:r w:rsidRPr="00CA400C">
        <w:noBreakHyphen/>
        <w:t>L1 testing</w:t>
      </w:r>
    </w:p>
    <w:p w14:paraId="1F5B109C" w14:textId="77777777" w:rsidR="00190FE5" w:rsidRPr="00CA400C" w:rsidRDefault="00190FE5" w:rsidP="00190FE5">
      <w:pPr>
        <w:spacing w:before="0" w:after="200" w:line="276" w:lineRule="auto"/>
        <w:ind w:left="0"/>
      </w:pPr>
      <w:r w:rsidRPr="00CA400C">
        <w:br w:type="page"/>
      </w:r>
    </w:p>
    <w:p w14:paraId="0398F948" w14:textId="1663982E" w:rsidR="00190FE5" w:rsidRPr="00CA400C" w:rsidRDefault="00190FE5" w:rsidP="00190FE5">
      <w:pPr>
        <w:ind w:left="426"/>
      </w:pPr>
      <w:r w:rsidRPr="00CA400C">
        <w:lastRenderedPageBreak/>
        <w:t>It is proposed that patients whose disease has recurred or metastasised receive a PD</w:t>
      </w:r>
      <w:r w:rsidRPr="00CA400C">
        <w:noBreakHyphen/>
        <w:t xml:space="preserve">L1 test to determine eligibility for </w:t>
      </w:r>
      <w:proofErr w:type="spellStart"/>
      <w:r w:rsidRPr="00CA400C">
        <w:t>durvalumab</w:t>
      </w:r>
      <w:proofErr w:type="spellEnd"/>
      <w:r w:rsidRPr="00CA400C">
        <w:t xml:space="preserve"> ± </w:t>
      </w:r>
      <w:proofErr w:type="spellStart"/>
      <w:r w:rsidRPr="00CA400C">
        <w:t>tremelimumab</w:t>
      </w:r>
      <w:proofErr w:type="spellEnd"/>
      <w:r w:rsidRPr="00CA400C">
        <w:t xml:space="preserve"> in either the first</w:t>
      </w:r>
      <w:r w:rsidRPr="00CA400C">
        <w:noBreakHyphen/>
        <w:t>line or second</w:t>
      </w:r>
      <w:r w:rsidRPr="00CA400C">
        <w:noBreakHyphen/>
        <w:t>line setting, according to PBS restriction criteria. Patients with a high PD</w:t>
      </w:r>
      <w:r w:rsidRPr="00CA400C">
        <w:noBreakHyphen/>
        <w:t xml:space="preserve">L1 expression rate (≥25%) are expected to benefit from </w:t>
      </w:r>
      <w:proofErr w:type="spellStart"/>
      <w:r w:rsidRPr="00CA400C">
        <w:t>durvalumab</w:t>
      </w:r>
      <w:proofErr w:type="spellEnd"/>
      <w:r w:rsidRPr="00CA400C">
        <w:t xml:space="preserve"> monotherapy, while it is anticipated that those with a low rate (&lt;25%) will benefit most from </w:t>
      </w:r>
      <w:proofErr w:type="spellStart"/>
      <w:r w:rsidRPr="00CA400C">
        <w:t>durvalumab</w:t>
      </w:r>
      <w:proofErr w:type="spellEnd"/>
      <w:r w:rsidRPr="00CA400C">
        <w:t xml:space="preserve"> and </w:t>
      </w:r>
      <w:proofErr w:type="spellStart"/>
      <w:r w:rsidRPr="00CA400C">
        <w:t>tremelimumab</w:t>
      </w:r>
      <w:proofErr w:type="spellEnd"/>
      <w:r w:rsidRPr="00CA400C">
        <w:t xml:space="preserve"> combination therapy. The Sponsor does not expect that patients treated with first-line immunotherapy will be retreated with immunotherapy in the second-line setting</w:t>
      </w:r>
      <w:r w:rsidR="00D83247" w:rsidRPr="00CA400C">
        <w:t>;</w:t>
      </w:r>
      <w:r w:rsidRPr="00CA400C">
        <w:t xml:space="preserve"> therefore</w:t>
      </w:r>
      <w:r w:rsidR="00D83247" w:rsidRPr="00CA400C">
        <w:t>,</w:t>
      </w:r>
      <w:r w:rsidRPr="00CA400C">
        <w:t xml:space="preserve"> it is expected that patients will only require one test for PD-L1 expression. </w:t>
      </w:r>
    </w:p>
    <w:p w14:paraId="2B08323B" w14:textId="2CFE50C7" w:rsidR="008A2D53" w:rsidRPr="00CA400C" w:rsidRDefault="008A2D53" w:rsidP="008A2D53">
      <w:pPr>
        <w:ind w:left="426"/>
      </w:pPr>
      <w:r w:rsidRPr="00CA400C">
        <w:t xml:space="preserve">In a relatively short time after they become available in the second-line setting, it is likely that </w:t>
      </w:r>
      <w:proofErr w:type="spellStart"/>
      <w:r w:rsidRPr="00CA400C">
        <w:t>durvalumab</w:t>
      </w:r>
      <w:proofErr w:type="spellEnd"/>
      <w:r w:rsidRPr="00CA400C">
        <w:t xml:space="preserve"> monotherapy and </w:t>
      </w:r>
      <w:proofErr w:type="spellStart"/>
      <w:r w:rsidRPr="00CA400C">
        <w:t>durvalumab</w:t>
      </w:r>
      <w:proofErr w:type="spellEnd"/>
      <w:r w:rsidRPr="00CA400C">
        <w:t>/</w:t>
      </w:r>
      <w:proofErr w:type="spellStart"/>
      <w:r w:rsidRPr="00CA400C">
        <w:t>tremelimumab</w:t>
      </w:r>
      <w:proofErr w:type="spellEnd"/>
      <w:r w:rsidRPr="00CA400C">
        <w:t xml:space="preserve"> combination therapy will become part of the standard of care in the first</w:t>
      </w:r>
      <w:r w:rsidRPr="00CA400C">
        <w:noBreakHyphen/>
        <w:t>line setting. Therefore, the requirement for PD</w:t>
      </w:r>
      <w:r w:rsidRPr="00CA400C">
        <w:noBreakHyphen/>
        <w:t>L1 testing prior to initiation of first-line therapy will increase. Patients who receive the test to determine eligibility for treatment in the first</w:t>
      </w:r>
      <w:r w:rsidRPr="00CA400C">
        <w:noBreakHyphen/>
        <w:t>line setting are not expected to be eligible for immunotherapy re-treatment and thus will not require a repeat test for determination of treatment in the second</w:t>
      </w:r>
      <w:r w:rsidRPr="00CA400C">
        <w:noBreakHyphen/>
        <w:t>line setting.</w:t>
      </w:r>
    </w:p>
    <w:p w14:paraId="49DF8C8F" w14:textId="70727DC5" w:rsidR="00776B84" w:rsidRPr="00CA400C" w:rsidRDefault="00190FE5" w:rsidP="00190FE5">
      <w:r w:rsidRPr="00CA400C">
        <w:t>The introduction of PD</w:t>
      </w:r>
      <w:r w:rsidRPr="00CA400C">
        <w:noBreakHyphen/>
        <w:t>L1 testing to the MBS is therefore expected to replace no PD</w:t>
      </w:r>
      <w:r w:rsidRPr="00CA400C">
        <w:noBreakHyphen/>
        <w:t xml:space="preserve">L1 testing, while the addition of </w:t>
      </w:r>
      <w:proofErr w:type="spellStart"/>
      <w:r w:rsidRPr="00CA400C">
        <w:t>durvalumab</w:t>
      </w:r>
      <w:proofErr w:type="spellEnd"/>
      <w:r w:rsidRPr="00CA400C">
        <w:t xml:space="preserve"> monotherapy and </w:t>
      </w:r>
      <w:proofErr w:type="spellStart"/>
      <w:r w:rsidRPr="00CA400C">
        <w:t>durvalumab</w:t>
      </w:r>
      <w:proofErr w:type="spellEnd"/>
      <w:r w:rsidRPr="00CA400C">
        <w:t>/</w:t>
      </w:r>
      <w:proofErr w:type="spellStart"/>
      <w:r w:rsidRPr="00CA400C">
        <w:t>tremelimumab</w:t>
      </w:r>
      <w:proofErr w:type="spellEnd"/>
      <w:r w:rsidRPr="00CA400C">
        <w:t xml:space="preserve"> combination therapy to the PBS will replace chemotherapy-based regimens, the current standard of care.</w:t>
      </w:r>
    </w:p>
    <w:p w14:paraId="228FF872" w14:textId="78E84A2E" w:rsidR="007D05EE" w:rsidRPr="00CA400C" w:rsidRDefault="007D05EE" w:rsidP="007D05EE">
      <w:pPr>
        <w:ind w:left="426"/>
      </w:pPr>
      <w:r w:rsidRPr="00CA400C">
        <w:t xml:space="preserve">As discussed in question 39, it is possible that either </w:t>
      </w:r>
      <w:proofErr w:type="spellStart"/>
      <w:r w:rsidRPr="00CA400C">
        <w:t>nivolumab</w:t>
      </w:r>
      <w:proofErr w:type="spellEnd"/>
      <w:r w:rsidRPr="00CA400C">
        <w:t xml:space="preserve"> or </w:t>
      </w:r>
      <w:proofErr w:type="spellStart"/>
      <w:r w:rsidRPr="00CA400C">
        <w:t>pembrolizumab</w:t>
      </w:r>
      <w:proofErr w:type="spellEnd"/>
      <w:r w:rsidRPr="00CA400C">
        <w:t xml:space="preserve"> will be reimbursed for SCCHN before </w:t>
      </w:r>
      <w:proofErr w:type="spellStart"/>
      <w:r w:rsidRPr="00CA400C">
        <w:t>durvalumab</w:t>
      </w:r>
      <w:proofErr w:type="spellEnd"/>
      <w:r w:rsidRPr="00CA400C">
        <w:t xml:space="preserve"> ± </w:t>
      </w:r>
      <w:proofErr w:type="spellStart"/>
      <w:r w:rsidRPr="00CA400C">
        <w:t>tremelimumab</w:t>
      </w:r>
      <w:proofErr w:type="spellEnd"/>
      <w:r w:rsidRPr="00CA400C">
        <w:t xml:space="preserve">. Should this happen, it is likely that either or both of these agents will become part of the standard of care in SCCHN. In this case, </w:t>
      </w:r>
      <w:proofErr w:type="spellStart"/>
      <w:r w:rsidRPr="00CA400C">
        <w:t>nivolumab</w:t>
      </w:r>
      <w:proofErr w:type="spellEnd"/>
      <w:r w:rsidRPr="00CA400C">
        <w:t xml:space="preserve"> and/or </w:t>
      </w:r>
      <w:proofErr w:type="spellStart"/>
      <w:r w:rsidRPr="00CA400C">
        <w:t>pembrolizumab</w:t>
      </w:r>
      <w:proofErr w:type="spellEnd"/>
      <w:r w:rsidRPr="00CA400C">
        <w:t xml:space="preserve"> would take the place of palliative platinum-based chemotherapy regimens in the treatment algorithms. </w:t>
      </w:r>
    </w:p>
    <w:p w14:paraId="20202D9B" w14:textId="77777777" w:rsidR="002053F2" w:rsidRPr="00CA400C" w:rsidRDefault="002053F2" w:rsidP="006907A4">
      <w:pPr>
        <w:rPr>
          <w:b/>
          <w:szCs w:val="20"/>
        </w:rPr>
      </w:pPr>
    </w:p>
    <w:p w14:paraId="0D825D1E" w14:textId="77777777" w:rsidR="001B29A1" w:rsidRPr="00CA400C" w:rsidRDefault="001B29A1" w:rsidP="00881F93">
      <w:pPr>
        <w:rPr>
          <w:b/>
          <w:i/>
          <w:szCs w:val="20"/>
          <w:u w:val="single"/>
        </w:rPr>
      </w:pPr>
      <w:r w:rsidRPr="00CA400C">
        <w:rPr>
          <w:b/>
          <w:i/>
          <w:szCs w:val="20"/>
          <w:u w:val="single"/>
        </w:rPr>
        <w:br w:type="page"/>
      </w:r>
    </w:p>
    <w:p w14:paraId="5D3AF827" w14:textId="77777777" w:rsidR="00DF0D47" w:rsidRPr="00CA400C" w:rsidRDefault="005C3AE7" w:rsidP="005C3AE7">
      <w:pPr>
        <w:pStyle w:val="Subtitle"/>
      </w:pPr>
      <w:r w:rsidRPr="00CA400C">
        <w:lastRenderedPageBreak/>
        <w:t xml:space="preserve">PART 6d – </w:t>
      </w:r>
      <w:r w:rsidR="00DF0D47" w:rsidRPr="00CA400C">
        <w:t xml:space="preserve">INFORMATION ABOUT THE </w:t>
      </w:r>
      <w:r w:rsidR="00CF5AD8" w:rsidRPr="00CA400C">
        <w:t xml:space="preserve">CLINICAL </w:t>
      </w:r>
      <w:r w:rsidR="00DF0D47" w:rsidRPr="00CA400C">
        <w:t>OUTCOME</w:t>
      </w:r>
    </w:p>
    <w:p w14:paraId="3A4EC91C" w14:textId="77777777" w:rsidR="004E3CC7" w:rsidRPr="00CA400C" w:rsidRDefault="004E3CC7" w:rsidP="00530204">
      <w:pPr>
        <w:pStyle w:val="Heading2"/>
      </w:pPr>
      <w:r w:rsidRPr="00CA400C">
        <w:t>Summarise the clinical claims for the proposed medical service against the appropriate comparator(s), in terms of consequences for health outcomes</w:t>
      </w:r>
      <w:r w:rsidR="00CF5AD8" w:rsidRPr="00CA400C">
        <w:t xml:space="preserve"> (</w:t>
      </w:r>
      <w:r w:rsidR="009F0C02" w:rsidRPr="00CA400C">
        <w:t>comparative benefits and harms)</w:t>
      </w:r>
      <w:r w:rsidR="00AE1188" w:rsidRPr="00CA400C">
        <w:t>:</w:t>
      </w:r>
    </w:p>
    <w:p w14:paraId="7B8601F2" w14:textId="1F71D365" w:rsidR="005117D2" w:rsidRPr="00CA400C" w:rsidRDefault="005117D2" w:rsidP="001B29A1">
      <w:pPr>
        <w:ind w:left="426"/>
      </w:pPr>
      <w:r w:rsidRPr="00CA400C">
        <w:t xml:space="preserve">Trials are ongoing, but it is </w:t>
      </w:r>
      <w:r w:rsidR="00DD6C86" w:rsidRPr="00CA400C">
        <w:t>antici</w:t>
      </w:r>
      <w:r w:rsidR="00397530" w:rsidRPr="00CA400C">
        <w:t>pa</w:t>
      </w:r>
      <w:r w:rsidR="00DD6C86" w:rsidRPr="00CA400C">
        <w:t>ted</w:t>
      </w:r>
      <w:r w:rsidRPr="00CA400C">
        <w:t xml:space="preserve"> that the clinical claim</w:t>
      </w:r>
      <w:r w:rsidR="00D83247" w:rsidRPr="00CA400C">
        <w:t>s</w:t>
      </w:r>
      <w:r w:rsidRPr="00CA400C">
        <w:t xml:space="preserve"> </w:t>
      </w:r>
      <w:r w:rsidR="001742E3" w:rsidRPr="00CA400C">
        <w:t>that will be made in the co</w:t>
      </w:r>
      <w:r w:rsidR="00B25D32" w:rsidRPr="00CA400C">
        <w:noBreakHyphen/>
      </w:r>
      <w:r w:rsidR="001742E3" w:rsidRPr="00CA400C">
        <w:t xml:space="preserve">dependent PBAC/MSAC submission </w:t>
      </w:r>
      <w:r w:rsidRPr="00CA400C">
        <w:t xml:space="preserve">for </w:t>
      </w:r>
      <w:proofErr w:type="spellStart"/>
      <w:r w:rsidRPr="00CA400C">
        <w:t>durvalumab</w:t>
      </w:r>
      <w:proofErr w:type="spellEnd"/>
      <w:r w:rsidRPr="00CA400C">
        <w:t xml:space="preserve"> and </w:t>
      </w:r>
      <w:proofErr w:type="spellStart"/>
      <w:r w:rsidRPr="00CA400C">
        <w:t>tremelimumab</w:t>
      </w:r>
      <w:proofErr w:type="spellEnd"/>
      <w:r w:rsidRPr="00CA400C">
        <w:t xml:space="preserve"> </w:t>
      </w:r>
      <w:r w:rsidR="001E40C3" w:rsidRPr="00CA400C">
        <w:t>will be</w:t>
      </w:r>
      <w:r w:rsidRPr="00CA400C">
        <w:t xml:space="preserve"> as follow</w:t>
      </w:r>
      <w:r w:rsidR="00962403" w:rsidRPr="00CA400C">
        <w:t>s.</w:t>
      </w:r>
    </w:p>
    <w:p w14:paraId="5F05ABC1" w14:textId="10648B45" w:rsidR="005117D2" w:rsidRPr="00CA400C" w:rsidRDefault="005117D2" w:rsidP="005117D2">
      <w:pPr>
        <w:pStyle w:val="ListParagraph"/>
        <w:numPr>
          <w:ilvl w:val="0"/>
          <w:numId w:val="37"/>
        </w:numPr>
      </w:pPr>
      <w:r w:rsidRPr="00CA400C">
        <w:t>PD</w:t>
      </w:r>
      <w:r w:rsidR="00B25D32" w:rsidRPr="00CA400C">
        <w:noBreakHyphen/>
      </w:r>
      <w:r w:rsidRPr="00CA400C">
        <w:t xml:space="preserve">L1 testing followed by </w:t>
      </w:r>
      <w:proofErr w:type="spellStart"/>
      <w:r w:rsidRPr="00CA400C">
        <w:t>durvalumab</w:t>
      </w:r>
      <w:proofErr w:type="spellEnd"/>
      <w:r w:rsidRPr="00CA400C">
        <w:t xml:space="preserve"> monotherapy for patients with </w:t>
      </w:r>
      <w:r w:rsidR="00854EAE" w:rsidRPr="00CA400C">
        <w:t xml:space="preserve">a </w:t>
      </w:r>
      <w:r w:rsidRPr="00CA400C">
        <w:t>PD</w:t>
      </w:r>
      <w:r w:rsidR="00B25D32" w:rsidRPr="00CA400C">
        <w:noBreakHyphen/>
      </w:r>
      <w:r w:rsidRPr="00CA400C">
        <w:t xml:space="preserve">L1 expression </w:t>
      </w:r>
      <w:r w:rsidR="00854EAE" w:rsidRPr="00CA400C">
        <w:t xml:space="preserve">rate </w:t>
      </w:r>
      <w:r w:rsidRPr="00CA400C">
        <w:t>≥25% result</w:t>
      </w:r>
      <w:r w:rsidR="00DD6C86" w:rsidRPr="00CA400C">
        <w:t>s</w:t>
      </w:r>
      <w:r w:rsidRPr="00CA400C">
        <w:t xml:space="preserve"> </w:t>
      </w:r>
      <w:r w:rsidR="00DD6C86" w:rsidRPr="00CA400C">
        <w:t xml:space="preserve">in </w:t>
      </w:r>
      <w:r w:rsidR="00B53453" w:rsidRPr="00CA400C">
        <w:t>superior</w:t>
      </w:r>
      <w:r w:rsidRPr="00CA400C">
        <w:t xml:space="preserve"> efficacy </w:t>
      </w:r>
      <w:r w:rsidR="001E40C3" w:rsidRPr="00CA400C">
        <w:t>compared with no testing and treatment with</w:t>
      </w:r>
      <w:r w:rsidR="008A2D53" w:rsidRPr="00CA400C">
        <w:t xml:space="preserve"> chemotherapy-based regimens,</w:t>
      </w:r>
      <w:r w:rsidR="001E40C3" w:rsidRPr="00CA400C">
        <w:t xml:space="preserve"> the current standard of care.</w:t>
      </w:r>
    </w:p>
    <w:p w14:paraId="779AFB47" w14:textId="4F541457" w:rsidR="001E40C3" w:rsidRPr="00CA400C" w:rsidRDefault="001E40C3" w:rsidP="005117D2">
      <w:pPr>
        <w:pStyle w:val="ListParagraph"/>
        <w:numPr>
          <w:ilvl w:val="0"/>
          <w:numId w:val="37"/>
        </w:numPr>
      </w:pPr>
      <w:r w:rsidRPr="00CA400C">
        <w:t>PD</w:t>
      </w:r>
      <w:r w:rsidR="00B25D32" w:rsidRPr="00CA400C">
        <w:noBreakHyphen/>
      </w:r>
      <w:r w:rsidRPr="00CA400C">
        <w:t xml:space="preserve">L1 testing followed by </w:t>
      </w:r>
      <w:proofErr w:type="spellStart"/>
      <w:r w:rsidRPr="00CA400C">
        <w:t>durvalumab</w:t>
      </w:r>
      <w:proofErr w:type="spellEnd"/>
      <w:r w:rsidRPr="00CA400C">
        <w:t>/</w:t>
      </w:r>
      <w:proofErr w:type="spellStart"/>
      <w:r w:rsidRPr="00CA400C">
        <w:t>tremelimumab</w:t>
      </w:r>
      <w:proofErr w:type="spellEnd"/>
      <w:r w:rsidRPr="00CA400C">
        <w:t xml:space="preserve"> combination therapy for patients with </w:t>
      </w:r>
      <w:r w:rsidR="00854EAE" w:rsidRPr="00CA400C">
        <w:t xml:space="preserve">a </w:t>
      </w:r>
      <w:r w:rsidRPr="00CA400C">
        <w:t>PD</w:t>
      </w:r>
      <w:r w:rsidR="00B25D32" w:rsidRPr="00CA400C">
        <w:noBreakHyphen/>
      </w:r>
      <w:r w:rsidRPr="00CA400C">
        <w:t xml:space="preserve">L1 expression </w:t>
      </w:r>
      <w:r w:rsidR="00854EAE" w:rsidRPr="00CA400C">
        <w:t xml:space="preserve">rate </w:t>
      </w:r>
      <w:r w:rsidRPr="00CA400C">
        <w:t>&lt;25% result</w:t>
      </w:r>
      <w:r w:rsidR="00DD6C86" w:rsidRPr="00CA400C">
        <w:t>s</w:t>
      </w:r>
      <w:r w:rsidRPr="00CA400C">
        <w:t xml:space="preserve"> in </w:t>
      </w:r>
      <w:r w:rsidR="00B53453" w:rsidRPr="00CA400C">
        <w:t>superior</w:t>
      </w:r>
      <w:r w:rsidRPr="00CA400C">
        <w:t xml:space="preserve"> efficacy compared with </w:t>
      </w:r>
      <w:proofErr w:type="spellStart"/>
      <w:r w:rsidRPr="00CA400C">
        <w:t>durvalumab</w:t>
      </w:r>
      <w:proofErr w:type="spellEnd"/>
      <w:r w:rsidRPr="00CA400C">
        <w:t xml:space="preserve"> monotherapy and </w:t>
      </w:r>
      <w:r w:rsidR="00DD6C86" w:rsidRPr="00CA400C">
        <w:t xml:space="preserve">with </w:t>
      </w:r>
      <w:r w:rsidR="008A2D53" w:rsidRPr="00CA400C">
        <w:t xml:space="preserve">chemotherapy-based regimens, </w:t>
      </w:r>
      <w:r w:rsidRPr="00CA400C">
        <w:t>the current standard of care.</w:t>
      </w:r>
    </w:p>
    <w:p w14:paraId="0FA6CFC7" w14:textId="16E69393" w:rsidR="00EE574B" w:rsidRPr="00CA400C" w:rsidRDefault="00CC289A" w:rsidP="001B29A1">
      <w:pPr>
        <w:ind w:left="426"/>
      </w:pPr>
      <w:r w:rsidRPr="00CA400C">
        <w:t>PD</w:t>
      </w:r>
      <w:r w:rsidRPr="00CA400C">
        <w:noBreakHyphen/>
        <w:t>L1 testing is not currently listed on the MBS. The appropriate comparator for the purposes of this application is no testing. Without testing, it is not possible to determine the PD</w:t>
      </w:r>
      <w:r w:rsidRPr="00CA400C">
        <w:noBreakHyphen/>
        <w:t xml:space="preserve">L1 status of a tumour, resulting in either denial of access to </w:t>
      </w:r>
      <w:proofErr w:type="spellStart"/>
      <w:r w:rsidRPr="00CA400C">
        <w:t>durvalumab</w:t>
      </w:r>
      <w:proofErr w:type="spellEnd"/>
      <w:r w:rsidRPr="00CA400C">
        <w:t xml:space="preserve"> monotherapy or </w:t>
      </w:r>
      <w:proofErr w:type="spellStart"/>
      <w:r w:rsidRPr="00CA400C">
        <w:t>durvalumab</w:t>
      </w:r>
      <w:proofErr w:type="spellEnd"/>
      <w:r w:rsidRPr="00CA400C">
        <w:t>/</w:t>
      </w:r>
      <w:proofErr w:type="spellStart"/>
      <w:r w:rsidRPr="00CA400C">
        <w:t>tremelimumab</w:t>
      </w:r>
      <w:proofErr w:type="spellEnd"/>
      <w:r w:rsidRPr="00CA400C">
        <w:t xml:space="preserve"> combination therapy</w:t>
      </w:r>
      <w:r w:rsidR="008A2D53" w:rsidRPr="00CA400C">
        <w:t>,</w:t>
      </w:r>
      <w:r w:rsidRPr="00CA400C">
        <w:t xml:space="preserve"> or untargeted treatment of all patients with these medicines.</w:t>
      </w:r>
    </w:p>
    <w:p w14:paraId="30C6FD04" w14:textId="7BE9085E" w:rsidR="001C7866" w:rsidRPr="00CA400C" w:rsidRDefault="003B1174" w:rsidP="001B29A1">
      <w:pPr>
        <w:ind w:left="426"/>
      </w:pPr>
      <w:r w:rsidRPr="00CA400C">
        <w:t>In patients with SCCHN, PD</w:t>
      </w:r>
      <w:r w:rsidRPr="00CA400C">
        <w:noBreakHyphen/>
        <w:t>L1 expression is a prognostic marker; higher PD</w:t>
      </w:r>
      <w:r w:rsidRPr="00CA400C">
        <w:noBreakHyphen/>
        <w:t xml:space="preserve">L1 expression has been shown to predict a poorer prognosis (Lin et al 2015). </w:t>
      </w:r>
      <w:r w:rsidR="00F648FB" w:rsidRPr="00CA400C">
        <w:t>E</w:t>
      </w:r>
      <w:r w:rsidR="000774A9" w:rsidRPr="00CA400C">
        <w:t>arl</w:t>
      </w:r>
      <w:r w:rsidR="00DD671C" w:rsidRPr="00CA400C">
        <w:t>y</w:t>
      </w:r>
      <w:r w:rsidR="00B25D32" w:rsidRPr="00CA400C">
        <w:noBreakHyphen/>
      </w:r>
      <w:r w:rsidR="000774A9" w:rsidRPr="00CA400C">
        <w:t xml:space="preserve">phase </w:t>
      </w:r>
      <w:r w:rsidR="00F648FB" w:rsidRPr="00CA400C">
        <w:t xml:space="preserve">research </w:t>
      </w:r>
      <w:r w:rsidR="008629D8" w:rsidRPr="00CA400C">
        <w:t>of</w:t>
      </w:r>
      <w:r w:rsidR="00B94CBC" w:rsidRPr="00CA400C">
        <w:t xml:space="preserve"> </w:t>
      </w:r>
      <w:proofErr w:type="spellStart"/>
      <w:r w:rsidR="00B94CBC" w:rsidRPr="00CA400C">
        <w:t>durvalumab</w:t>
      </w:r>
      <w:proofErr w:type="spellEnd"/>
      <w:r w:rsidR="00B94CBC" w:rsidRPr="00CA400C">
        <w:t xml:space="preserve"> monotherapy </w:t>
      </w:r>
      <w:r w:rsidR="000774A9" w:rsidRPr="00CA400C">
        <w:t>indicate</w:t>
      </w:r>
      <w:r w:rsidR="00CD49C9" w:rsidRPr="00CA400C">
        <w:t>s</w:t>
      </w:r>
      <w:r w:rsidR="000774A9" w:rsidRPr="00CA400C">
        <w:t xml:space="preserve"> that </w:t>
      </w:r>
      <w:r w:rsidR="00095C32" w:rsidRPr="00CA400C">
        <w:t>there is a difference in treatment response based on PD</w:t>
      </w:r>
      <w:r w:rsidR="00B25D32" w:rsidRPr="00CA400C">
        <w:noBreakHyphen/>
      </w:r>
      <w:r w:rsidR="00095C32" w:rsidRPr="00CA400C">
        <w:t xml:space="preserve">L1 expression </w:t>
      </w:r>
      <w:r w:rsidR="0012410A" w:rsidRPr="00CA400C">
        <w:t>rate</w:t>
      </w:r>
      <w:r w:rsidR="00095C32" w:rsidRPr="00CA400C">
        <w:t xml:space="preserve"> in patients with </w:t>
      </w:r>
      <w:r w:rsidR="00E52006" w:rsidRPr="00CA400C">
        <w:t xml:space="preserve">solid tumours across several indications, </w:t>
      </w:r>
      <w:r w:rsidR="00725233" w:rsidRPr="00CA400C">
        <w:t xml:space="preserve">including </w:t>
      </w:r>
      <w:r w:rsidR="00E52006" w:rsidRPr="00CA400C">
        <w:t xml:space="preserve">those with </w:t>
      </w:r>
      <w:r w:rsidR="00725233" w:rsidRPr="00CA400C">
        <w:t xml:space="preserve">SCCHN and </w:t>
      </w:r>
      <w:r w:rsidR="00E52006" w:rsidRPr="00CA400C">
        <w:t>NSCLC</w:t>
      </w:r>
      <w:r w:rsidRPr="00CA400C">
        <w:t xml:space="preserve"> (Antonia et al 2016</w:t>
      </w:r>
      <w:r w:rsidR="00F648FB" w:rsidRPr="00CA400C">
        <w:t>; Rizvi et al 2015; Segal et al 2016</w:t>
      </w:r>
      <w:r w:rsidRPr="00CA400C">
        <w:t>)</w:t>
      </w:r>
      <w:r w:rsidR="00095C32" w:rsidRPr="00CA400C">
        <w:t xml:space="preserve">. </w:t>
      </w:r>
      <w:r w:rsidR="0069178D" w:rsidRPr="00CA400C">
        <w:t xml:space="preserve">Further, the mechanism of action of the two drugs suggest that </w:t>
      </w:r>
      <w:proofErr w:type="spellStart"/>
      <w:r w:rsidR="0069178D" w:rsidRPr="00CA400C">
        <w:t>durvalumab</w:t>
      </w:r>
      <w:proofErr w:type="spellEnd"/>
      <w:r w:rsidR="0069178D" w:rsidRPr="00CA400C">
        <w:t xml:space="preserve"> monotherapy is likely to be most effective in patients with a higher PD</w:t>
      </w:r>
      <w:r w:rsidR="00B25D32" w:rsidRPr="00CA400C">
        <w:noBreakHyphen/>
      </w:r>
      <w:r w:rsidR="0069178D" w:rsidRPr="00CA400C">
        <w:t xml:space="preserve">L1 expression rate, while the addition of </w:t>
      </w:r>
      <w:proofErr w:type="spellStart"/>
      <w:r w:rsidR="0069178D" w:rsidRPr="00CA400C">
        <w:t>tremelimumab</w:t>
      </w:r>
      <w:proofErr w:type="spellEnd"/>
      <w:r w:rsidR="0069178D" w:rsidRPr="00CA400C">
        <w:t xml:space="preserve"> may have an additive or synergistic effect to </w:t>
      </w:r>
      <w:proofErr w:type="spellStart"/>
      <w:r w:rsidR="0069178D" w:rsidRPr="00CA400C">
        <w:t>durvalumab</w:t>
      </w:r>
      <w:proofErr w:type="spellEnd"/>
      <w:r w:rsidR="0069178D" w:rsidRPr="00CA400C">
        <w:t xml:space="preserve"> monotherapy, thereby improving response rates in those with a lower PD</w:t>
      </w:r>
      <w:r w:rsidR="00B25D32" w:rsidRPr="00CA400C">
        <w:noBreakHyphen/>
      </w:r>
      <w:r w:rsidR="0069178D" w:rsidRPr="00CA400C">
        <w:t>L1 expression rate.</w:t>
      </w:r>
    </w:p>
    <w:p w14:paraId="648B8C81" w14:textId="2116E8E6" w:rsidR="00EA0CD2" w:rsidRPr="00CA400C" w:rsidRDefault="000774A9" w:rsidP="001B29A1">
      <w:pPr>
        <w:ind w:left="426"/>
      </w:pPr>
      <w:r w:rsidRPr="00CA400C">
        <w:t xml:space="preserve">The </w:t>
      </w:r>
      <w:r w:rsidR="001742E3" w:rsidRPr="00CA400C">
        <w:t xml:space="preserve">key </w:t>
      </w:r>
      <w:r w:rsidRPr="00CA400C">
        <w:t>clinical trials</w:t>
      </w:r>
      <w:r w:rsidR="001742E3" w:rsidRPr="00CA400C">
        <w:t xml:space="preserve"> on which the co</w:t>
      </w:r>
      <w:r w:rsidR="00B25D32" w:rsidRPr="00CA400C">
        <w:noBreakHyphen/>
      </w:r>
      <w:r w:rsidR="001742E3" w:rsidRPr="00CA400C">
        <w:t>dependent submission will be based</w:t>
      </w:r>
      <w:r w:rsidRPr="00CA400C">
        <w:t xml:space="preserve"> </w:t>
      </w:r>
      <w:r w:rsidR="001742E3" w:rsidRPr="00CA400C">
        <w:t>divide</w:t>
      </w:r>
      <w:r w:rsidRPr="00CA400C">
        <w:t xml:space="preserve"> patients into </w:t>
      </w:r>
      <w:r w:rsidR="0097275A" w:rsidRPr="00CA400C">
        <w:t>those with ≥25% PD</w:t>
      </w:r>
      <w:r w:rsidR="00B25D32" w:rsidRPr="00CA400C">
        <w:noBreakHyphen/>
      </w:r>
      <w:r w:rsidR="0097275A" w:rsidRPr="00CA400C">
        <w:t>L1 expression and those with &lt;25% PD</w:t>
      </w:r>
      <w:r w:rsidR="00B25D32" w:rsidRPr="00CA400C">
        <w:noBreakHyphen/>
      </w:r>
      <w:r w:rsidR="0097275A" w:rsidRPr="00CA400C">
        <w:t xml:space="preserve">L1 expression. </w:t>
      </w:r>
      <w:r w:rsidR="00EA0CD2" w:rsidRPr="00CA400C">
        <w:t>It is expected that PD</w:t>
      </w:r>
      <w:r w:rsidR="00B25D32" w:rsidRPr="00CA400C">
        <w:noBreakHyphen/>
      </w:r>
      <w:r w:rsidR="00EA0CD2" w:rsidRPr="00CA400C">
        <w:t xml:space="preserve">L1 testing will help to determine the most appropriate clinical pathway for individual patients. By determining </w:t>
      </w:r>
      <w:r w:rsidR="0013384D" w:rsidRPr="00CA400C">
        <w:t xml:space="preserve">that </w:t>
      </w:r>
      <w:r w:rsidR="00EA0CD2" w:rsidRPr="00CA400C">
        <w:t>a patient</w:t>
      </w:r>
      <w:r w:rsidR="0013384D" w:rsidRPr="00CA400C">
        <w:t xml:space="preserve"> has a high</w:t>
      </w:r>
      <w:r w:rsidR="00EA0CD2" w:rsidRPr="00CA400C">
        <w:t xml:space="preserve"> PD</w:t>
      </w:r>
      <w:r w:rsidR="00B25D32" w:rsidRPr="00CA400C">
        <w:noBreakHyphen/>
      </w:r>
      <w:r w:rsidR="00EA0CD2" w:rsidRPr="00CA400C">
        <w:t xml:space="preserve">L1 expression </w:t>
      </w:r>
      <w:r w:rsidR="0012410A" w:rsidRPr="00CA400C">
        <w:t>rate</w:t>
      </w:r>
      <w:r w:rsidR="00D07FF4" w:rsidRPr="00CA400C">
        <w:t xml:space="preserve"> (those with a PD</w:t>
      </w:r>
      <w:r w:rsidR="00B25D32" w:rsidRPr="00CA400C">
        <w:noBreakHyphen/>
      </w:r>
      <w:r w:rsidR="00D07FF4" w:rsidRPr="00CA400C">
        <w:t>L1 rate ≥25%)</w:t>
      </w:r>
      <w:r w:rsidR="00EA0CD2" w:rsidRPr="00CA400C">
        <w:t>, it will be possible to determine whether the patient is likely to respond well to the PD</w:t>
      </w:r>
      <w:r w:rsidR="00B25D32" w:rsidRPr="00CA400C">
        <w:noBreakHyphen/>
      </w:r>
      <w:r w:rsidR="00EA0CD2" w:rsidRPr="00CA400C">
        <w:t xml:space="preserve">L1 inhibitor </w:t>
      </w:r>
      <w:proofErr w:type="spellStart"/>
      <w:r w:rsidR="00EA0CD2" w:rsidRPr="00CA400C">
        <w:t>durvalumab</w:t>
      </w:r>
      <w:proofErr w:type="spellEnd"/>
      <w:r w:rsidR="001D221A" w:rsidRPr="00CA400C">
        <w:t xml:space="preserve"> in comparison with the current standard of care, while</w:t>
      </w:r>
      <w:r w:rsidR="00EA0CD2" w:rsidRPr="00CA400C">
        <w:t xml:space="preserve"> </w:t>
      </w:r>
      <w:r w:rsidR="00E25B9A" w:rsidRPr="00CA400C">
        <w:t>identifying</w:t>
      </w:r>
      <w:r w:rsidR="00EA0CD2" w:rsidRPr="00CA400C">
        <w:t xml:space="preserve"> those with </w:t>
      </w:r>
      <w:r w:rsidR="0069178D" w:rsidRPr="00CA400C">
        <w:t xml:space="preserve">a </w:t>
      </w:r>
      <w:r w:rsidR="00EA0CD2" w:rsidRPr="00CA400C">
        <w:t xml:space="preserve">lower </w:t>
      </w:r>
      <w:r w:rsidR="00E25B9A" w:rsidRPr="00CA400C">
        <w:t>PD</w:t>
      </w:r>
      <w:r w:rsidR="00B25D32" w:rsidRPr="00CA400C">
        <w:noBreakHyphen/>
      </w:r>
      <w:r w:rsidR="00E25B9A" w:rsidRPr="00CA400C">
        <w:t xml:space="preserve">L1 expression </w:t>
      </w:r>
      <w:r w:rsidR="0069178D" w:rsidRPr="00CA400C">
        <w:t xml:space="preserve">rate </w:t>
      </w:r>
      <w:r w:rsidR="00D07FF4" w:rsidRPr="00CA400C">
        <w:t>(a PD</w:t>
      </w:r>
      <w:r w:rsidR="00B25D32" w:rsidRPr="00CA400C">
        <w:noBreakHyphen/>
      </w:r>
      <w:r w:rsidR="00D07FF4" w:rsidRPr="00CA400C">
        <w:t xml:space="preserve">L1 rate ≥25%) </w:t>
      </w:r>
      <w:r w:rsidR="00E25B9A" w:rsidRPr="00CA400C">
        <w:t xml:space="preserve">will allow access to combination </w:t>
      </w:r>
      <w:proofErr w:type="spellStart"/>
      <w:r w:rsidR="00E25B9A" w:rsidRPr="00CA400C">
        <w:t>durvalumab</w:t>
      </w:r>
      <w:proofErr w:type="spellEnd"/>
      <w:r w:rsidR="00E25B9A" w:rsidRPr="00CA400C">
        <w:t xml:space="preserve"> and </w:t>
      </w:r>
      <w:proofErr w:type="spellStart"/>
      <w:r w:rsidR="00E25B9A" w:rsidRPr="00CA400C">
        <w:t>tremelimumab</w:t>
      </w:r>
      <w:proofErr w:type="spellEnd"/>
      <w:r w:rsidR="00E25B9A" w:rsidRPr="00CA400C">
        <w:t xml:space="preserve"> therapy, which is likely to produce a better response in these patients than </w:t>
      </w:r>
      <w:proofErr w:type="spellStart"/>
      <w:r w:rsidR="00E25B9A" w:rsidRPr="00CA400C">
        <w:t>durva</w:t>
      </w:r>
      <w:r w:rsidR="0013384D" w:rsidRPr="00CA400C">
        <w:t>lumab</w:t>
      </w:r>
      <w:proofErr w:type="spellEnd"/>
      <w:r w:rsidR="0013384D" w:rsidRPr="00CA400C">
        <w:t xml:space="preserve"> monotherapy </w:t>
      </w:r>
      <w:r w:rsidR="001D221A" w:rsidRPr="00CA400C">
        <w:t>or standard of care</w:t>
      </w:r>
      <w:r w:rsidR="00CC289A" w:rsidRPr="00CA400C">
        <w:t xml:space="preserve"> alone, but may cause greater toxicity than </w:t>
      </w:r>
      <w:proofErr w:type="spellStart"/>
      <w:r w:rsidR="00CC289A" w:rsidRPr="00CA400C">
        <w:t>durvalumab</w:t>
      </w:r>
      <w:proofErr w:type="spellEnd"/>
      <w:r w:rsidR="00CC289A" w:rsidRPr="00CA400C">
        <w:t xml:space="preserve"> monotherapy</w:t>
      </w:r>
      <w:r w:rsidR="0013384D" w:rsidRPr="00CA400C">
        <w:t>.</w:t>
      </w:r>
    </w:p>
    <w:p w14:paraId="589A21A1" w14:textId="77777777" w:rsidR="00B04F32" w:rsidRPr="00CA400C" w:rsidRDefault="00B04F32" w:rsidP="00B04F32">
      <w:pPr>
        <w:ind w:left="426"/>
        <w:rPr>
          <w:b/>
          <w:i/>
          <w:sz w:val="16"/>
          <w:szCs w:val="16"/>
        </w:rPr>
      </w:pPr>
      <w:r w:rsidRPr="00CA400C">
        <w:rPr>
          <w:b/>
          <w:i/>
          <w:sz w:val="16"/>
          <w:szCs w:val="16"/>
        </w:rPr>
        <w:t>References</w:t>
      </w:r>
    </w:p>
    <w:p w14:paraId="2C09057E" w14:textId="6C5A7F2D" w:rsidR="00CD49C9" w:rsidRPr="00CA400C" w:rsidRDefault="00CD49C9" w:rsidP="00B04F32">
      <w:pPr>
        <w:ind w:left="426"/>
        <w:rPr>
          <w:sz w:val="16"/>
          <w:szCs w:val="20"/>
        </w:rPr>
      </w:pPr>
      <w:r w:rsidRPr="00CA400C">
        <w:rPr>
          <w:sz w:val="16"/>
          <w:szCs w:val="20"/>
        </w:rPr>
        <w:t xml:space="preserve">Antonia SJ et al. Safety and clinical activity of </w:t>
      </w:r>
      <w:proofErr w:type="spellStart"/>
      <w:r w:rsidRPr="00CA400C">
        <w:rPr>
          <w:sz w:val="16"/>
          <w:szCs w:val="20"/>
        </w:rPr>
        <w:t>durvalumab</w:t>
      </w:r>
      <w:proofErr w:type="spellEnd"/>
      <w:r w:rsidRPr="00CA400C">
        <w:rPr>
          <w:sz w:val="16"/>
          <w:szCs w:val="20"/>
        </w:rPr>
        <w:t xml:space="preserve"> (MEDI4736), an anti</w:t>
      </w:r>
      <w:r w:rsidR="00B25D32" w:rsidRPr="00CA400C">
        <w:rPr>
          <w:sz w:val="16"/>
          <w:szCs w:val="20"/>
        </w:rPr>
        <w:noBreakHyphen/>
      </w:r>
      <w:r w:rsidRPr="00CA400C">
        <w:rPr>
          <w:sz w:val="16"/>
          <w:szCs w:val="20"/>
        </w:rPr>
        <w:t>PD</w:t>
      </w:r>
      <w:r w:rsidR="00B25D32" w:rsidRPr="00CA400C">
        <w:rPr>
          <w:sz w:val="16"/>
          <w:szCs w:val="20"/>
        </w:rPr>
        <w:noBreakHyphen/>
      </w:r>
      <w:r w:rsidRPr="00CA400C">
        <w:rPr>
          <w:sz w:val="16"/>
          <w:szCs w:val="20"/>
        </w:rPr>
        <w:t>L1 antibody, in treatment</w:t>
      </w:r>
      <w:r w:rsidR="00B25D32" w:rsidRPr="00CA400C">
        <w:rPr>
          <w:sz w:val="16"/>
          <w:szCs w:val="20"/>
        </w:rPr>
        <w:noBreakHyphen/>
      </w:r>
      <w:r w:rsidRPr="00CA400C">
        <w:rPr>
          <w:sz w:val="16"/>
          <w:szCs w:val="20"/>
        </w:rPr>
        <w:t>naïve patients with advanced non‒small</w:t>
      </w:r>
      <w:r w:rsidR="00B25D32" w:rsidRPr="00CA400C">
        <w:rPr>
          <w:sz w:val="16"/>
          <w:szCs w:val="20"/>
        </w:rPr>
        <w:noBreakHyphen/>
      </w:r>
      <w:r w:rsidRPr="00CA400C">
        <w:rPr>
          <w:sz w:val="16"/>
          <w:szCs w:val="20"/>
        </w:rPr>
        <w:t xml:space="preserve">cell lung cancer. </w:t>
      </w:r>
      <w:proofErr w:type="gramStart"/>
      <w:r w:rsidRPr="00CA400C">
        <w:rPr>
          <w:sz w:val="16"/>
          <w:szCs w:val="20"/>
        </w:rPr>
        <w:t xml:space="preserve">J </w:t>
      </w:r>
      <w:proofErr w:type="spellStart"/>
      <w:r w:rsidRPr="00CA400C">
        <w:rPr>
          <w:sz w:val="16"/>
          <w:szCs w:val="20"/>
        </w:rPr>
        <w:t>Clin</w:t>
      </w:r>
      <w:proofErr w:type="spellEnd"/>
      <w:r w:rsidRPr="00CA400C">
        <w:rPr>
          <w:sz w:val="16"/>
          <w:szCs w:val="20"/>
        </w:rPr>
        <w:t xml:space="preserve"> </w:t>
      </w:r>
      <w:proofErr w:type="spellStart"/>
      <w:r w:rsidRPr="00CA400C">
        <w:rPr>
          <w:sz w:val="16"/>
          <w:szCs w:val="20"/>
        </w:rPr>
        <w:t>Oncol</w:t>
      </w:r>
      <w:proofErr w:type="spellEnd"/>
      <w:r w:rsidRPr="00CA400C">
        <w:rPr>
          <w:sz w:val="16"/>
          <w:szCs w:val="20"/>
        </w:rPr>
        <w:t xml:space="preserve"> 2016; 34(</w:t>
      </w:r>
      <w:proofErr w:type="spellStart"/>
      <w:r w:rsidRPr="00CA400C">
        <w:rPr>
          <w:sz w:val="16"/>
          <w:szCs w:val="20"/>
        </w:rPr>
        <w:t>Suppl</w:t>
      </w:r>
      <w:proofErr w:type="spellEnd"/>
      <w:r w:rsidRPr="00CA400C">
        <w:rPr>
          <w:sz w:val="16"/>
          <w:szCs w:val="20"/>
        </w:rPr>
        <w:t xml:space="preserve">; </w:t>
      </w:r>
      <w:proofErr w:type="spellStart"/>
      <w:r w:rsidRPr="00CA400C">
        <w:rPr>
          <w:sz w:val="16"/>
          <w:szCs w:val="20"/>
        </w:rPr>
        <w:t>abstr</w:t>
      </w:r>
      <w:proofErr w:type="spellEnd"/>
      <w:r w:rsidRPr="00CA400C">
        <w:rPr>
          <w:sz w:val="16"/>
          <w:szCs w:val="20"/>
        </w:rPr>
        <w:t xml:space="preserve"> 9029).</w:t>
      </w:r>
      <w:proofErr w:type="gramEnd"/>
    </w:p>
    <w:p w14:paraId="71246ABE" w14:textId="2B2F58AB" w:rsidR="00B04F32" w:rsidRPr="00CA400C" w:rsidRDefault="00B04F32" w:rsidP="00B04F32">
      <w:pPr>
        <w:ind w:left="426"/>
        <w:rPr>
          <w:sz w:val="16"/>
          <w:szCs w:val="16"/>
        </w:rPr>
      </w:pPr>
      <w:r w:rsidRPr="00CA400C">
        <w:rPr>
          <w:sz w:val="16"/>
          <w:szCs w:val="16"/>
        </w:rPr>
        <w:t>Lin Y</w:t>
      </w:r>
      <w:r w:rsidR="00B25D32" w:rsidRPr="00CA400C">
        <w:rPr>
          <w:sz w:val="16"/>
          <w:szCs w:val="16"/>
        </w:rPr>
        <w:noBreakHyphen/>
      </w:r>
      <w:r w:rsidRPr="00CA400C">
        <w:rPr>
          <w:sz w:val="16"/>
          <w:szCs w:val="16"/>
        </w:rPr>
        <w:t>M et al. (2015) High PD</w:t>
      </w:r>
      <w:r w:rsidR="00B25D32" w:rsidRPr="00CA400C">
        <w:rPr>
          <w:sz w:val="16"/>
          <w:szCs w:val="16"/>
        </w:rPr>
        <w:noBreakHyphen/>
      </w:r>
      <w:r w:rsidRPr="00CA400C">
        <w:rPr>
          <w:sz w:val="16"/>
          <w:szCs w:val="16"/>
        </w:rPr>
        <w:t xml:space="preserve">L1 expression correlates with metastasis and poor prognosis in oral squamous cell carcinoma. </w:t>
      </w:r>
      <w:proofErr w:type="spellStart"/>
      <w:r w:rsidRPr="00CA400C">
        <w:rPr>
          <w:sz w:val="16"/>
          <w:szCs w:val="16"/>
        </w:rPr>
        <w:t>PLoS</w:t>
      </w:r>
      <w:proofErr w:type="spellEnd"/>
      <w:r w:rsidRPr="00CA400C">
        <w:rPr>
          <w:sz w:val="16"/>
          <w:szCs w:val="16"/>
        </w:rPr>
        <w:t xml:space="preserve"> ONE 10(11): e0142656. doi:10.1371/journal.pone.0142656</w:t>
      </w:r>
    </w:p>
    <w:p w14:paraId="6D26E6B6" w14:textId="5261CFC0" w:rsidR="00E52006" w:rsidRPr="00CA400C" w:rsidRDefault="00E52006" w:rsidP="00B04F32">
      <w:pPr>
        <w:ind w:left="426"/>
        <w:rPr>
          <w:sz w:val="16"/>
          <w:szCs w:val="20"/>
        </w:rPr>
      </w:pPr>
      <w:proofErr w:type="gramStart"/>
      <w:r w:rsidRPr="00CA400C">
        <w:rPr>
          <w:sz w:val="16"/>
          <w:szCs w:val="20"/>
        </w:rPr>
        <w:t xml:space="preserve">Rizvi </w:t>
      </w:r>
      <w:r w:rsidR="001D02AC" w:rsidRPr="00CA400C">
        <w:rPr>
          <w:sz w:val="16"/>
          <w:szCs w:val="20"/>
        </w:rPr>
        <w:t>NA et al. Safety and clinical activity of MEDI4736, an anti</w:t>
      </w:r>
      <w:r w:rsidR="00B25D32" w:rsidRPr="00CA400C">
        <w:rPr>
          <w:sz w:val="16"/>
          <w:szCs w:val="20"/>
        </w:rPr>
        <w:noBreakHyphen/>
      </w:r>
      <w:r w:rsidR="001D02AC" w:rsidRPr="00CA400C">
        <w:rPr>
          <w:sz w:val="16"/>
          <w:szCs w:val="20"/>
        </w:rPr>
        <w:t>programmed cell death</w:t>
      </w:r>
      <w:r w:rsidR="00B25D32" w:rsidRPr="00CA400C">
        <w:rPr>
          <w:sz w:val="16"/>
          <w:szCs w:val="20"/>
        </w:rPr>
        <w:noBreakHyphen/>
      </w:r>
      <w:r w:rsidR="001D02AC" w:rsidRPr="00CA400C">
        <w:rPr>
          <w:sz w:val="16"/>
          <w:szCs w:val="20"/>
        </w:rPr>
        <w:t>ligand 1 (PD</w:t>
      </w:r>
      <w:r w:rsidR="00B25D32" w:rsidRPr="00CA400C">
        <w:rPr>
          <w:sz w:val="16"/>
          <w:szCs w:val="20"/>
        </w:rPr>
        <w:noBreakHyphen/>
      </w:r>
      <w:r w:rsidR="001D02AC" w:rsidRPr="00CA400C">
        <w:rPr>
          <w:sz w:val="16"/>
          <w:szCs w:val="20"/>
        </w:rPr>
        <w:t>L1) antibody, in patients with non–small cell lung cancer (NSCLC).</w:t>
      </w:r>
      <w:proofErr w:type="gramEnd"/>
      <w:r w:rsidR="00231FCC" w:rsidRPr="00CA400C">
        <w:rPr>
          <w:sz w:val="16"/>
          <w:szCs w:val="20"/>
        </w:rPr>
        <w:t xml:space="preserve"> J </w:t>
      </w:r>
      <w:proofErr w:type="spellStart"/>
      <w:r w:rsidR="00231FCC" w:rsidRPr="00CA400C">
        <w:rPr>
          <w:sz w:val="16"/>
          <w:szCs w:val="20"/>
        </w:rPr>
        <w:t>Clin</w:t>
      </w:r>
      <w:proofErr w:type="spellEnd"/>
      <w:r w:rsidR="00231FCC" w:rsidRPr="00CA400C">
        <w:rPr>
          <w:sz w:val="16"/>
          <w:szCs w:val="20"/>
        </w:rPr>
        <w:t xml:space="preserve"> </w:t>
      </w:r>
      <w:proofErr w:type="spellStart"/>
      <w:r w:rsidR="00231FCC" w:rsidRPr="00CA400C">
        <w:rPr>
          <w:sz w:val="16"/>
          <w:szCs w:val="20"/>
        </w:rPr>
        <w:t>Oncol</w:t>
      </w:r>
      <w:proofErr w:type="spellEnd"/>
      <w:r w:rsidR="00231FCC" w:rsidRPr="00CA400C">
        <w:rPr>
          <w:sz w:val="16"/>
          <w:szCs w:val="20"/>
        </w:rPr>
        <w:t xml:space="preserve"> 2015; 33</w:t>
      </w:r>
      <w:r w:rsidR="00F648FB" w:rsidRPr="00CA400C">
        <w:rPr>
          <w:sz w:val="16"/>
          <w:szCs w:val="20"/>
        </w:rPr>
        <w:t xml:space="preserve"> </w:t>
      </w:r>
      <w:r w:rsidR="00231FCC" w:rsidRPr="00CA400C">
        <w:rPr>
          <w:sz w:val="16"/>
          <w:szCs w:val="20"/>
        </w:rPr>
        <w:t>(</w:t>
      </w:r>
      <w:proofErr w:type="spellStart"/>
      <w:r w:rsidR="00231FCC" w:rsidRPr="00CA400C">
        <w:rPr>
          <w:sz w:val="16"/>
          <w:szCs w:val="20"/>
        </w:rPr>
        <w:t>Suppl</w:t>
      </w:r>
      <w:proofErr w:type="spellEnd"/>
      <w:r w:rsidR="00231FCC" w:rsidRPr="00CA400C">
        <w:rPr>
          <w:sz w:val="16"/>
          <w:szCs w:val="20"/>
        </w:rPr>
        <w:t xml:space="preserve">: 8032). </w:t>
      </w:r>
    </w:p>
    <w:p w14:paraId="4E9BEEAE" w14:textId="14D9F4C0" w:rsidR="00725233" w:rsidRPr="00CA400C" w:rsidRDefault="00725233" w:rsidP="00725233">
      <w:pPr>
        <w:ind w:left="426"/>
        <w:rPr>
          <w:sz w:val="16"/>
          <w:szCs w:val="20"/>
        </w:rPr>
      </w:pPr>
      <w:r w:rsidRPr="00CA400C">
        <w:rPr>
          <w:sz w:val="16"/>
          <w:szCs w:val="20"/>
        </w:rPr>
        <w:t xml:space="preserve">Segal MH et al. </w:t>
      </w:r>
      <w:r w:rsidR="00F648FB" w:rsidRPr="00CA400C">
        <w:rPr>
          <w:sz w:val="16"/>
          <w:szCs w:val="20"/>
        </w:rPr>
        <w:t xml:space="preserve">Updated safety and efficacy of </w:t>
      </w:r>
      <w:proofErr w:type="spellStart"/>
      <w:r w:rsidR="00F648FB" w:rsidRPr="00CA400C">
        <w:rPr>
          <w:sz w:val="16"/>
          <w:szCs w:val="20"/>
        </w:rPr>
        <w:t>durvalumab</w:t>
      </w:r>
      <w:proofErr w:type="spellEnd"/>
      <w:r w:rsidR="00F648FB" w:rsidRPr="00CA400C">
        <w:rPr>
          <w:sz w:val="16"/>
          <w:szCs w:val="20"/>
        </w:rPr>
        <w:t xml:space="preserve"> (MEDI4736), an anti -PD-L1 antibody, in patients from a head and neck squamous cell carcinoma cell carcinoma (HNSCC) expansion cohort. </w:t>
      </w:r>
      <w:r w:rsidRPr="00CA400C">
        <w:rPr>
          <w:sz w:val="16"/>
          <w:szCs w:val="20"/>
        </w:rPr>
        <w:t xml:space="preserve">Ann </w:t>
      </w:r>
      <w:proofErr w:type="spellStart"/>
      <w:r w:rsidRPr="00CA400C">
        <w:rPr>
          <w:sz w:val="16"/>
          <w:szCs w:val="20"/>
        </w:rPr>
        <w:t>Oncol</w:t>
      </w:r>
      <w:proofErr w:type="spellEnd"/>
      <w:r w:rsidRPr="00CA400C">
        <w:rPr>
          <w:sz w:val="16"/>
          <w:szCs w:val="20"/>
        </w:rPr>
        <w:t xml:space="preserve"> 2016; 27(6): 328–350.</w:t>
      </w:r>
      <w:r w:rsidR="00F648FB" w:rsidRPr="00CA400C">
        <w:rPr>
          <w:sz w:val="16"/>
          <w:szCs w:val="20"/>
        </w:rPr>
        <w:t xml:space="preserve"> </w:t>
      </w:r>
    </w:p>
    <w:p w14:paraId="086DC6C3" w14:textId="77777777" w:rsidR="004E3CC7" w:rsidRPr="00CA400C" w:rsidRDefault="004E3CC7" w:rsidP="00530204">
      <w:pPr>
        <w:pStyle w:val="Heading2"/>
      </w:pPr>
      <w:r w:rsidRPr="00CA400C">
        <w:t xml:space="preserve">Please advise if the </w:t>
      </w:r>
      <w:r w:rsidR="00CF5AD8" w:rsidRPr="00CA400C">
        <w:t xml:space="preserve">overall </w:t>
      </w:r>
      <w:r w:rsidRPr="00CA400C">
        <w:t>clinical claim is for:</w:t>
      </w:r>
    </w:p>
    <w:p w14:paraId="766ED704" w14:textId="77777777" w:rsidR="001B29A1" w:rsidRPr="00CA400C" w:rsidRDefault="00F03A70" w:rsidP="001B29A1">
      <w:pPr>
        <w:spacing w:before="0" w:after="0"/>
        <w:ind w:left="426"/>
        <w:rPr>
          <w:szCs w:val="20"/>
        </w:rPr>
      </w:pPr>
      <w:r w:rsidRPr="00CA400C">
        <w:rPr>
          <w:szCs w:val="20"/>
        </w:rPr>
        <w:fldChar w:fldCharType="begin">
          <w:ffData>
            <w:name w:val=""/>
            <w:enabled/>
            <w:calcOnExit w:val="0"/>
            <w:checkBox>
              <w:sizeAuto/>
              <w:default w:val="1"/>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001B29A1" w:rsidRPr="00CA400C">
        <w:rPr>
          <w:szCs w:val="20"/>
        </w:rPr>
        <w:t xml:space="preserve"> Superiority</w:t>
      </w:r>
      <w:r w:rsidR="001B29A1" w:rsidRPr="00CA400C">
        <w:rPr>
          <w:szCs w:val="20"/>
        </w:rPr>
        <w:tab/>
      </w:r>
    </w:p>
    <w:p w14:paraId="153BACCA" w14:textId="6D22AE9C" w:rsidR="004E3CC7" w:rsidRPr="00CA400C" w:rsidRDefault="001B29A1" w:rsidP="001B29A1">
      <w:pPr>
        <w:spacing w:before="0" w:after="0"/>
        <w:ind w:left="426"/>
        <w:rPr>
          <w:szCs w:val="20"/>
        </w:rPr>
      </w:pPr>
      <w:r w:rsidRPr="00CA400C">
        <w:rPr>
          <w:szCs w:val="20"/>
        </w:rPr>
        <w:fldChar w:fldCharType="begin">
          <w:ffData>
            <w:name w:val="Check1"/>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Pr="00CA400C">
        <w:rPr>
          <w:szCs w:val="20"/>
        </w:rPr>
        <w:t xml:space="preserve"> Non</w:t>
      </w:r>
      <w:r w:rsidR="00B25D32" w:rsidRPr="00CA400C">
        <w:rPr>
          <w:szCs w:val="20"/>
        </w:rPr>
        <w:noBreakHyphen/>
      </w:r>
      <w:r w:rsidRPr="00CA400C">
        <w:rPr>
          <w:szCs w:val="20"/>
        </w:rPr>
        <w:t>inferiority</w:t>
      </w:r>
      <w:r w:rsidRPr="00CA400C">
        <w:rPr>
          <w:szCs w:val="20"/>
        </w:rPr>
        <w:tab/>
      </w:r>
    </w:p>
    <w:p w14:paraId="2F788356" w14:textId="77777777" w:rsidR="00545F0D" w:rsidRPr="00CA400C" w:rsidRDefault="00545F0D" w:rsidP="001B29A1">
      <w:pPr>
        <w:spacing w:before="0" w:after="0"/>
        <w:ind w:left="426"/>
        <w:rPr>
          <w:szCs w:val="20"/>
        </w:rPr>
      </w:pPr>
    </w:p>
    <w:p w14:paraId="2D60906F" w14:textId="3F772390" w:rsidR="00962403" w:rsidRPr="00CA400C" w:rsidRDefault="0069178D" w:rsidP="001B29A1">
      <w:pPr>
        <w:spacing w:before="0" w:after="0"/>
        <w:ind w:left="426"/>
        <w:rPr>
          <w:szCs w:val="20"/>
        </w:rPr>
      </w:pPr>
      <w:r w:rsidRPr="00CA400C">
        <w:rPr>
          <w:szCs w:val="20"/>
        </w:rPr>
        <w:t xml:space="preserve">As described </w:t>
      </w:r>
      <w:r w:rsidR="00545F0D" w:rsidRPr="00CA400C">
        <w:rPr>
          <w:szCs w:val="20"/>
        </w:rPr>
        <w:t>previously</w:t>
      </w:r>
      <w:r w:rsidRPr="00CA400C">
        <w:rPr>
          <w:szCs w:val="20"/>
        </w:rPr>
        <w:t xml:space="preserve">, it is expected that </w:t>
      </w:r>
      <w:proofErr w:type="spellStart"/>
      <w:r w:rsidRPr="00CA400C">
        <w:rPr>
          <w:szCs w:val="20"/>
        </w:rPr>
        <w:t>durvalumab</w:t>
      </w:r>
      <w:proofErr w:type="spellEnd"/>
      <w:r w:rsidRPr="00CA400C">
        <w:rPr>
          <w:szCs w:val="20"/>
        </w:rPr>
        <w:t xml:space="preserve"> monotherapy will result in improved efficacy compared with the current standard of care in patients with a higher PD</w:t>
      </w:r>
      <w:r w:rsidR="00B25D32" w:rsidRPr="00CA400C">
        <w:rPr>
          <w:szCs w:val="20"/>
        </w:rPr>
        <w:noBreakHyphen/>
      </w:r>
      <w:r w:rsidRPr="00CA400C">
        <w:rPr>
          <w:szCs w:val="20"/>
        </w:rPr>
        <w:t xml:space="preserve">L1 expression rate, while </w:t>
      </w:r>
      <w:proofErr w:type="spellStart"/>
      <w:r w:rsidRPr="00CA400C">
        <w:rPr>
          <w:szCs w:val="20"/>
        </w:rPr>
        <w:t>durvalumab</w:t>
      </w:r>
      <w:proofErr w:type="spellEnd"/>
      <w:r w:rsidRPr="00CA400C">
        <w:rPr>
          <w:szCs w:val="20"/>
        </w:rPr>
        <w:t>/</w:t>
      </w:r>
      <w:proofErr w:type="spellStart"/>
      <w:r w:rsidRPr="00CA400C">
        <w:rPr>
          <w:szCs w:val="20"/>
        </w:rPr>
        <w:t>tremelimumab</w:t>
      </w:r>
      <w:proofErr w:type="spellEnd"/>
      <w:r w:rsidRPr="00CA400C">
        <w:rPr>
          <w:szCs w:val="20"/>
        </w:rPr>
        <w:t xml:space="preserve"> combination therapy will improve efficacy outcomes in patients with a lower PD</w:t>
      </w:r>
      <w:r w:rsidR="00B25D32" w:rsidRPr="00CA400C">
        <w:rPr>
          <w:szCs w:val="20"/>
        </w:rPr>
        <w:noBreakHyphen/>
      </w:r>
      <w:r w:rsidRPr="00CA400C">
        <w:rPr>
          <w:szCs w:val="20"/>
        </w:rPr>
        <w:t xml:space="preserve">L1 expression rate compared with both </w:t>
      </w:r>
      <w:proofErr w:type="spellStart"/>
      <w:r w:rsidRPr="00CA400C">
        <w:rPr>
          <w:szCs w:val="20"/>
        </w:rPr>
        <w:t>durvalumab</w:t>
      </w:r>
      <w:proofErr w:type="spellEnd"/>
      <w:r w:rsidRPr="00CA400C">
        <w:rPr>
          <w:szCs w:val="20"/>
        </w:rPr>
        <w:t xml:space="preserve"> monotherapy and the current standard of care.</w:t>
      </w:r>
    </w:p>
    <w:p w14:paraId="6C91BE00" w14:textId="3233AE0D" w:rsidR="004E72E4" w:rsidRPr="00CA400C" w:rsidRDefault="001B29A1" w:rsidP="00530204">
      <w:pPr>
        <w:pStyle w:val="Heading2"/>
      </w:pPr>
      <w:r w:rsidRPr="00CA400C">
        <w:t>Below, l</w:t>
      </w:r>
      <w:r w:rsidR="00B25D20" w:rsidRPr="00CA400C">
        <w:t xml:space="preserve">ist the key health outcomes </w:t>
      </w:r>
      <w:r w:rsidR="00707D4D" w:rsidRPr="00CA400C">
        <w:t xml:space="preserve">(major and minor – prioritising major key health outcomes first) </w:t>
      </w:r>
      <w:r w:rsidR="00B25D20" w:rsidRPr="00CA400C">
        <w:t>that will ne</w:t>
      </w:r>
      <w:r w:rsidR="00AD37D4" w:rsidRPr="00CA400C">
        <w:t xml:space="preserve">ed to be specifically measured </w:t>
      </w:r>
      <w:r w:rsidR="00B25D20" w:rsidRPr="00CA400C">
        <w:t>in assessing the clinical claim of the proposed medica</w:t>
      </w:r>
      <w:r w:rsidRPr="00CA400C">
        <w:t>l service versus the comparator</w:t>
      </w:r>
      <w:r w:rsidR="006D1714" w:rsidRPr="00CA400C">
        <w:t>.</w:t>
      </w:r>
    </w:p>
    <w:p w14:paraId="2E32F160" w14:textId="77777777" w:rsidR="006D1714" w:rsidRPr="00CA400C" w:rsidRDefault="006D1714" w:rsidP="00CD49C9">
      <w:pPr>
        <w:pBdr>
          <w:top w:val="single" w:sz="4" w:space="1" w:color="auto"/>
          <w:left w:val="single" w:sz="4" w:space="4" w:color="auto"/>
          <w:bottom w:val="single" w:sz="4" w:space="1" w:color="auto"/>
          <w:right w:val="single" w:sz="4" w:space="4" w:color="auto"/>
        </w:pBdr>
        <w:rPr>
          <w:b/>
          <w:szCs w:val="20"/>
        </w:rPr>
      </w:pPr>
      <w:r w:rsidRPr="00CA400C">
        <w:rPr>
          <w:b/>
          <w:szCs w:val="20"/>
        </w:rPr>
        <w:lastRenderedPageBreak/>
        <w:t>Safety outcomes</w:t>
      </w:r>
    </w:p>
    <w:p w14:paraId="7362AE96" w14:textId="77777777" w:rsidR="006D1714" w:rsidRPr="00CA400C" w:rsidRDefault="006D1714" w:rsidP="00CD49C9">
      <w:pPr>
        <w:pBdr>
          <w:top w:val="single" w:sz="4" w:space="1" w:color="auto"/>
          <w:left w:val="single" w:sz="4" w:space="4" w:color="auto"/>
          <w:bottom w:val="single" w:sz="4" w:space="1" w:color="auto"/>
          <w:right w:val="single" w:sz="4" w:space="4" w:color="auto"/>
        </w:pBdr>
        <w:rPr>
          <w:b/>
          <w:i/>
          <w:szCs w:val="20"/>
        </w:rPr>
      </w:pPr>
      <w:proofErr w:type="gramStart"/>
      <w:r w:rsidRPr="00CA400C">
        <w:rPr>
          <w:szCs w:val="20"/>
        </w:rPr>
        <w:t>Adverse events relating to tolerability and toxicity.</w:t>
      </w:r>
      <w:proofErr w:type="gramEnd"/>
    </w:p>
    <w:p w14:paraId="2BD0B1F8" w14:textId="77777777" w:rsidR="006D1714" w:rsidRPr="00CA400C" w:rsidRDefault="006D1714" w:rsidP="00CD49C9">
      <w:pPr>
        <w:pBdr>
          <w:top w:val="single" w:sz="4" w:space="1" w:color="auto"/>
          <w:left w:val="single" w:sz="4" w:space="4" w:color="auto"/>
          <w:bottom w:val="single" w:sz="4" w:space="1" w:color="auto"/>
          <w:right w:val="single" w:sz="4" w:space="4" w:color="auto"/>
        </w:pBdr>
        <w:rPr>
          <w:b/>
          <w:i/>
          <w:szCs w:val="20"/>
        </w:rPr>
      </w:pPr>
      <w:r w:rsidRPr="00CA400C">
        <w:rPr>
          <w:b/>
          <w:szCs w:val="20"/>
        </w:rPr>
        <w:t>Clinical effectiveness outcomes</w:t>
      </w:r>
    </w:p>
    <w:p w14:paraId="00484C24" w14:textId="77777777" w:rsidR="00CD49C9" w:rsidRPr="00CA400C" w:rsidRDefault="00CD49C9" w:rsidP="00CD49C9">
      <w:pPr>
        <w:pBdr>
          <w:top w:val="single" w:sz="4" w:space="1" w:color="auto"/>
          <w:left w:val="single" w:sz="4" w:space="4" w:color="auto"/>
          <w:bottom w:val="single" w:sz="4" w:space="1" w:color="auto"/>
          <w:right w:val="single" w:sz="4" w:space="4" w:color="auto"/>
        </w:pBdr>
        <w:rPr>
          <w:b/>
          <w:i/>
          <w:szCs w:val="20"/>
        </w:rPr>
      </w:pPr>
      <w:r w:rsidRPr="00CA400C">
        <w:rPr>
          <w:b/>
          <w:i/>
          <w:szCs w:val="20"/>
        </w:rPr>
        <w:t>Test outcomes</w:t>
      </w:r>
    </w:p>
    <w:p w14:paraId="709DBAC5" w14:textId="7969B96A" w:rsidR="00CD49C9" w:rsidRPr="00CA400C" w:rsidRDefault="00CD49C9" w:rsidP="00CD49C9">
      <w:pPr>
        <w:pBdr>
          <w:top w:val="single" w:sz="4" w:space="1" w:color="auto"/>
          <w:left w:val="single" w:sz="4" w:space="4" w:color="auto"/>
          <w:bottom w:val="single" w:sz="4" w:space="1" w:color="auto"/>
          <w:right w:val="single" w:sz="4" w:space="4" w:color="auto"/>
        </w:pBdr>
        <w:rPr>
          <w:i/>
          <w:szCs w:val="20"/>
        </w:rPr>
      </w:pPr>
      <w:r w:rsidRPr="00CA400C">
        <w:rPr>
          <w:i/>
          <w:szCs w:val="20"/>
        </w:rPr>
        <w:t>Trial based (evidentiary standard) PD</w:t>
      </w:r>
      <w:r w:rsidR="00B25D32" w:rsidRPr="00CA400C">
        <w:rPr>
          <w:i/>
          <w:szCs w:val="20"/>
        </w:rPr>
        <w:noBreakHyphen/>
      </w:r>
      <w:r w:rsidRPr="00CA400C">
        <w:rPr>
          <w:i/>
          <w:szCs w:val="20"/>
        </w:rPr>
        <w:t>L1 IHC assay analytical performance</w:t>
      </w:r>
    </w:p>
    <w:p w14:paraId="6E131286" w14:textId="77777777"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t>Sensitivity</w:t>
      </w:r>
    </w:p>
    <w:p w14:paraId="6CBA89C0" w14:textId="77777777"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t>Specificity</w:t>
      </w:r>
    </w:p>
    <w:p w14:paraId="4B437A51" w14:textId="77777777"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t>Positive predictive value</w:t>
      </w:r>
      <w:r w:rsidR="006D1714" w:rsidRPr="00CA400C">
        <w:rPr>
          <w:szCs w:val="20"/>
        </w:rPr>
        <w:t xml:space="preserve"> (PPV)</w:t>
      </w:r>
    </w:p>
    <w:p w14:paraId="76B86118" w14:textId="77777777"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t>Negative predictive value</w:t>
      </w:r>
      <w:r w:rsidR="006D1714" w:rsidRPr="00CA400C">
        <w:rPr>
          <w:szCs w:val="20"/>
        </w:rPr>
        <w:t xml:space="preserve"> (NPV)</w:t>
      </w:r>
    </w:p>
    <w:p w14:paraId="1A71D699" w14:textId="77777777"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t xml:space="preserve">Receiver operator characteristic (ROC) </w:t>
      </w:r>
    </w:p>
    <w:p w14:paraId="1C426F3F" w14:textId="25ACDF98" w:rsidR="00CD49C9" w:rsidRPr="00CA400C" w:rsidRDefault="00CD49C9" w:rsidP="00CD49C9">
      <w:pPr>
        <w:pBdr>
          <w:top w:val="single" w:sz="4" w:space="1" w:color="auto"/>
          <w:left w:val="single" w:sz="4" w:space="4" w:color="auto"/>
          <w:bottom w:val="single" w:sz="4" w:space="1" w:color="auto"/>
          <w:right w:val="single" w:sz="4" w:space="4" w:color="auto"/>
        </w:pBdr>
        <w:rPr>
          <w:i/>
          <w:szCs w:val="20"/>
        </w:rPr>
      </w:pPr>
      <w:r w:rsidRPr="00CA400C">
        <w:rPr>
          <w:i/>
          <w:szCs w:val="20"/>
        </w:rPr>
        <w:t>Comparative perfo</w:t>
      </w:r>
      <w:r w:rsidR="006D1714" w:rsidRPr="00CA400C">
        <w:rPr>
          <w:i/>
          <w:szCs w:val="20"/>
        </w:rPr>
        <w:t>rmance of PD</w:t>
      </w:r>
      <w:r w:rsidR="00B25D32" w:rsidRPr="00CA400C">
        <w:rPr>
          <w:i/>
          <w:szCs w:val="20"/>
        </w:rPr>
        <w:noBreakHyphen/>
      </w:r>
      <w:r w:rsidR="006D1714" w:rsidRPr="00CA400C">
        <w:rPr>
          <w:i/>
          <w:szCs w:val="20"/>
        </w:rPr>
        <w:t>L1 testing methods</w:t>
      </w:r>
    </w:p>
    <w:p w14:paraId="3BB27830" w14:textId="5519DE14"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t>Concordance with other commercially available PD</w:t>
      </w:r>
      <w:r w:rsidR="00B25D32" w:rsidRPr="00CA400C">
        <w:rPr>
          <w:szCs w:val="20"/>
        </w:rPr>
        <w:noBreakHyphen/>
      </w:r>
      <w:r w:rsidRPr="00CA400C">
        <w:rPr>
          <w:szCs w:val="20"/>
        </w:rPr>
        <w:t>L1 antibodies</w:t>
      </w:r>
    </w:p>
    <w:p w14:paraId="48B99B09" w14:textId="5A6590A1"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t>Concordance with other commercially available PD</w:t>
      </w:r>
      <w:r w:rsidR="00B25D32" w:rsidRPr="00CA400C">
        <w:rPr>
          <w:szCs w:val="20"/>
        </w:rPr>
        <w:noBreakHyphen/>
      </w:r>
      <w:r w:rsidRPr="00CA400C">
        <w:rPr>
          <w:szCs w:val="20"/>
        </w:rPr>
        <w:t>L1 assays</w:t>
      </w:r>
    </w:p>
    <w:p w14:paraId="137D7AB2" w14:textId="5B16BA26"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t>Prevalence of PD</w:t>
      </w:r>
      <w:r w:rsidR="00B25D32" w:rsidRPr="00CA400C">
        <w:rPr>
          <w:szCs w:val="20"/>
        </w:rPr>
        <w:noBreakHyphen/>
      </w:r>
      <w:r w:rsidRPr="00CA400C">
        <w:rPr>
          <w:szCs w:val="20"/>
        </w:rPr>
        <w:t>L1 expression assessed using different antibodies/assays</w:t>
      </w:r>
    </w:p>
    <w:p w14:paraId="4FD8AAA5" w14:textId="47852862"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t>Re</w:t>
      </w:r>
      <w:r w:rsidR="00B25D32" w:rsidRPr="00CA400C">
        <w:rPr>
          <w:szCs w:val="20"/>
        </w:rPr>
        <w:noBreakHyphen/>
      </w:r>
      <w:r w:rsidRPr="00CA400C">
        <w:rPr>
          <w:szCs w:val="20"/>
        </w:rPr>
        <w:t>testing rates</w:t>
      </w:r>
    </w:p>
    <w:p w14:paraId="46176DAF" w14:textId="77777777" w:rsidR="00CD49C9" w:rsidRPr="00CA400C" w:rsidRDefault="006D1714" w:rsidP="00CD49C9">
      <w:pPr>
        <w:pBdr>
          <w:top w:val="single" w:sz="4" w:space="1" w:color="auto"/>
          <w:left w:val="single" w:sz="4" w:space="4" w:color="auto"/>
          <w:bottom w:val="single" w:sz="4" w:space="1" w:color="auto"/>
          <w:right w:val="single" w:sz="4" w:space="4" w:color="auto"/>
        </w:pBdr>
        <w:rPr>
          <w:i/>
          <w:szCs w:val="20"/>
        </w:rPr>
      </w:pPr>
      <w:r w:rsidRPr="00CA400C">
        <w:rPr>
          <w:i/>
          <w:szCs w:val="20"/>
        </w:rPr>
        <w:t>Clinical utility of test</w:t>
      </w:r>
    </w:p>
    <w:p w14:paraId="0BD7A214" w14:textId="59F8DD2B"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t xml:space="preserve">Efficacy and safety outcomes of </w:t>
      </w:r>
      <w:proofErr w:type="spellStart"/>
      <w:r w:rsidRPr="00CA400C">
        <w:rPr>
          <w:szCs w:val="20"/>
        </w:rPr>
        <w:t>durvalumab</w:t>
      </w:r>
      <w:proofErr w:type="spellEnd"/>
      <w:r w:rsidRPr="00CA400C">
        <w:rPr>
          <w:szCs w:val="20"/>
        </w:rPr>
        <w:t xml:space="preserve"> and </w:t>
      </w:r>
      <w:proofErr w:type="spellStart"/>
      <w:r w:rsidRPr="00CA400C">
        <w:rPr>
          <w:szCs w:val="20"/>
        </w:rPr>
        <w:t>durvalumab</w:t>
      </w:r>
      <w:proofErr w:type="spellEnd"/>
      <w:r w:rsidRPr="00CA400C">
        <w:rPr>
          <w:szCs w:val="20"/>
        </w:rPr>
        <w:t>/</w:t>
      </w:r>
      <w:proofErr w:type="spellStart"/>
      <w:r w:rsidRPr="00CA400C">
        <w:rPr>
          <w:szCs w:val="20"/>
        </w:rPr>
        <w:t>tremelimumab</w:t>
      </w:r>
      <w:proofErr w:type="spellEnd"/>
      <w:r w:rsidRPr="00CA400C">
        <w:rPr>
          <w:szCs w:val="20"/>
        </w:rPr>
        <w:t xml:space="preserve"> treatment with or without PD</w:t>
      </w:r>
      <w:r w:rsidR="00B25D32" w:rsidRPr="00CA400C">
        <w:rPr>
          <w:szCs w:val="20"/>
        </w:rPr>
        <w:noBreakHyphen/>
      </w:r>
      <w:r w:rsidRPr="00CA400C">
        <w:rPr>
          <w:szCs w:val="20"/>
        </w:rPr>
        <w:t>L1 testing</w:t>
      </w:r>
    </w:p>
    <w:p w14:paraId="6A718206" w14:textId="122FF4C4" w:rsidR="00CD49C9" w:rsidRPr="00CA400C" w:rsidRDefault="00CD49C9" w:rsidP="00CD49C9">
      <w:pPr>
        <w:pBdr>
          <w:top w:val="single" w:sz="4" w:space="1" w:color="auto"/>
          <w:left w:val="single" w:sz="4" w:space="4" w:color="auto"/>
          <w:bottom w:val="single" w:sz="4" w:space="1" w:color="auto"/>
          <w:right w:val="single" w:sz="4" w:space="4" w:color="auto"/>
        </w:pBdr>
        <w:rPr>
          <w:i/>
          <w:szCs w:val="20"/>
        </w:rPr>
      </w:pPr>
      <w:r w:rsidRPr="00CA400C">
        <w:rPr>
          <w:i/>
          <w:szCs w:val="20"/>
        </w:rPr>
        <w:t>Ot</w:t>
      </w:r>
      <w:r w:rsidR="006D1714" w:rsidRPr="00CA400C">
        <w:rPr>
          <w:i/>
          <w:szCs w:val="20"/>
        </w:rPr>
        <w:t>her test</w:t>
      </w:r>
      <w:r w:rsidR="00B25D32" w:rsidRPr="00CA400C">
        <w:rPr>
          <w:i/>
          <w:szCs w:val="20"/>
        </w:rPr>
        <w:noBreakHyphen/>
      </w:r>
      <w:r w:rsidR="006D1714" w:rsidRPr="00CA400C">
        <w:rPr>
          <w:i/>
          <w:szCs w:val="20"/>
        </w:rPr>
        <w:t>related considerations</w:t>
      </w:r>
    </w:p>
    <w:p w14:paraId="1F961931" w14:textId="72398AA4"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t>Re</w:t>
      </w:r>
      <w:r w:rsidR="00B25D32" w:rsidRPr="00CA400C">
        <w:rPr>
          <w:szCs w:val="20"/>
        </w:rPr>
        <w:noBreakHyphen/>
      </w:r>
      <w:r w:rsidRPr="00CA400C">
        <w:rPr>
          <w:szCs w:val="20"/>
        </w:rPr>
        <w:t>biopsy rates</w:t>
      </w:r>
    </w:p>
    <w:p w14:paraId="5C512DB0" w14:textId="2870F0E9"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t>Test turn</w:t>
      </w:r>
      <w:r w:rsidR="00B25D32" w:rsidRPr="00CA400C">
        <w:rPr>
          <w:szCs w:val="20"/>
        </w:rPr>
        <w:noBreakHyphen/>
      </w:r>
      <w:r w:rsidRPr="00CA400C">
        <w:rPr>
          <w:szCs w:val="20"/>
        </w:rPr>
        <w:t>around time</w:t>
      </w:r>
    </w:p>
    <w:p w14:paraId="31529E51" w14:textId="77777777"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t>Estimated number of patients being tested</w:t>
      </w:r>
    </w:p>
    <w:p w14:paraId="49905A0C" w14:textId="6E242BA9"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t>Number of patients tested per case of PDL</w:t>
      </w:r>
      <w:r w:rsidR="00B25D32" w:rsidRPr="00CA400C">
        <w:rPr>
          <w:szCs w:val="20"/>
        </w:rPr>
        <w:noBreakHyphen/>
      </w:r>
      <w:r w:rsidRPr="00CA400C">
        <w:rPr>
          <w:szCs w:val="20"/>
        </w:rPr>
        <w:t>1 positive (≥25%) and PD</w:t>
      </w:r>
      <w:r w:rsidR="00B25D32" w:rsidRPr="00CA400C">
        <w:rPr>
          <w:szCs w:val="20"/>
        </w:rPr>
        <w:noBreakHyphen/>
      </w:r>
      <w:r w:rsidRPr="00CA400C">
        <w:rPr>
          <w:szCs w:val="20"/>
        </w:rPr>
        <w:t>L1 negative (&lt;25%) result detected</w:t>
      </w:r>
    </w:p>
    <w:p w14:paraId="41DB6948" w14:textId="77777777" w:rsidR="00CD49C9" w:rsidRPr="00CA400C" w:rsidRDefault="00CD49C9" w:rsidP="00CD49C9">
      <w:pPr>
        <w:pBdr>
          <w:top w:val="single" w:sz="4" w:space="1" w:color="auto"/>
          <w:left w:val="single" w:sz="4" w:space="4" w:color="auto"/>
          <w:bottom w:val="single" w:sz="4" w:space="1" w:color="auto"/>
          <w:right w:val="single" w:sz="4" w:space="4" w:color="auto"/>
        </w:pBdr>
        <w:rPr>
          <w:b/>
          <w:i/>
          <w:szCs w:val="20"/>
        </w:rPr>
      </w:pPr>
      <w:r w:rsidRPr="00CA400C">
        <w:rPr>
          <w:b/>
          <w:i/>
          <w:szCs w:val="20"/>
        </w:rPr>
        <w:t>Test outcomes</w:t>
      </w:r>
    </w:p>
    <w:p w14:paraId="1962D0B7" w14:textId="6892AB44" w:rsidR="00CD49C9" w:rsidRPr="00CA400C" w:rsidRDefault="00CD49C9" w:rsidP="00CD49C9">
      <w:pPr>
        <w:pBdr>
          <w:top w:val="single" w:sz="4" w:space="1" w:color="auto"/>
          <w:left w:val="single" w:sz="4" w:space="4" w:color="auto"/>
          <w:bottom w:val="single" w:sz="4" w:space="1" w:color="auto"/>
          <w:right w:val="single" w:sz="4" w:space="4" w:color="auto"/>
        </w:pBdr>
        <w:rPr>
          <w:i/>
          <w:szCs w:val="20"/>
        </w:rPr>
      </w:pPr>
      <w:r w:rsidRPr="00CA400C">
        <w:rPr>
          <w:i/>
          <w:szCs w:val="20"/>
        </w:rPr>
        <w:t>Trial based (evidentiary standard) PD</w:t>
      </w:r>
      <w:r w:rsidR="00B25D32" w:rsidRPr="00CA400C">
        <w:rPr>
          <w:i/>
          <w:szCs w:val="20"/>
        </w:rPr>
        <w:noBreakHyphen/>
      </w:r>
      <w:r w:rsidRPr="00CA400C">
        <w:rPr>
          <w:i/>
          <w:szCs w:val="20"/>
        </w:rPr>
        <w:t>L1 IHC assay analytical performance</w:t>
      </w:r>
    </w:p>
    <w:p w14:paraId="7EEDC2FC" w14:textId="77777777"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t>Sensitivity</w:t>
      </w:r>
    </w:p>
    <w:p w14:paraId="025E3AD5" w14:textId="77777777"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t>Specificity</w:t>
      </w:r>
    </w:p>
    <w:p w14:paraId="7403A576" w14:textId="77777777"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t>Positive predictive value</w:t>
      </w:r>
    </w:p>
    <w:p w14:paraId="4AEFA6E4" w14:textId="77777777"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t>Negative predictive value</w:t>
      </w:r>
    </w:p>
    <w:p w14:paraId="66E24F85" w14:textId="77777777"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t xml:space="preserve">Receiver operator characteristic (ROC) </w:t>
      </w:r>
    </w:p>
    <w:p w14:paraId="1311813A" w14:textId="57C7FB21" w:rsidR="00CD49C9" w:rsidRPr="00CA400C" w:rsidRDefault="00CD49C9" w:rsidP="00CD49C9">
      <w:pPr>
        <w:pBdr>
          <w:top w:val="single" w:sz="4" w:space="1" w:color="auto"/>
          <w:left w:val="single" w:sz="4" w:space="4" w:color="auto"/>
          <w:bottom w:val="single" w:sz="4" w:space="1" w:color="auto"/>
          <w:right w:val="single" w:sz="4" w:space="4" w:color="auto"/>
        </w:pBdr>
        <w:rPr>
          <w:i/>
          <w:szCs w:val="20"/>
        </w:rPr>
      </w:pPr>
      <w:r w:rsidRPr="00CA400C">
        <w:rPr>
          <w:i/>
          <w:szCs w:val="20"/>
        </w:rPr>
        <w:t>Comparative performance of PD</w:t>
      </w:r>
      <w:r w:rsidR="00B25D32" w:rsidRPr="00CA400C">
        <w:rPr>
          <w:i/>
          <w:szCs w:val="20"/>
        </w:rPr>
        <w:noBreakHyphen/>
      </w:r>
      <w:r w:rsidRPr="00CA400C">
        <w:rPr>
          <w:i/>
          <w:szCs w:val="20"/>
        </w:rPr>
        <w:t>L1 testing methods:</w:t>
      </w:r>
    </w:p>
    <w:p w14:paraId="219754BB" w14:textId="6DEF7C75"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t>Concordance with other commercially available PD</w:t>
      </w:r>
      <w:r w:rsidR="00B25D32" w:rsidRPr="00CA400C">
        <w:rPr>
          <w:szCs w:val="20"/>
        </w:rPr>
        <w:noBreakHyphen/>
      </w:r>
      <w:r w:rsidRPr="00CA400C">
        <w:rPr>
          <w:szCs w:val="20"/>
        </w:rPr>
        <w:t>L1 antibodies</w:t>
      </w:r>
    </w:p>
    <w:p w14:paraId="459A486C" w14:textId="1CB3E72A"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t>Concordance with other commercially available PD</w:t>
      </w:r>
      <w:r w:rsidR="00B25D32" w:rsidRPr="00CA400C">
        <w:rPr>
          <w:szCs w:val="20"/>
        </w:rPr>
        <w:noBreakHyphen/>
      </w:r>
      <w:r w:rsidRPr="00CA400C">
        <w:rPr>
          <w:szCs w:val="20"/>
        </w:rPr>
        <w:t>L1 assays</w:t>
      </w:r>
    </w:p>
    <w:p w14:paraId="4AD943CE" w14:textId="78F8A729"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t>Prevalence of PD</w:t>
      </w:r>
      <w:r w:rsidR="00B25D32" w:rsidRPr="00CA400C">
        <w:rPr>
          <w:szCs w:val="20"/>
        </w:rPr>
        <w:noBreakHyphen/>
      </w:r>
      <w:r w:rsidRPr="00CA400C">
        <w:rPr>
          <w:szCs w:val="20"/>
        </w:rPr>
        <w:t>L1 expression assessed using different antibodies/assays</w:t>
      </w:r>
    </w:p>
    <w:p w14:paraId="0C0B173F" w14:textId="6F6B07DD"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t>Re</w:t>
      </w:r>
      <w:r w:rsidR="00B25D32" w:rsidRPr="00CA400C">
        <w:rPr>
          <w:szCs w:val="20"/>
        </w:rPr>
        <w:noBreakHyphen/>
      </w:r>
      <w:r w:rsidRPr="00CA400C">
        <w:rPr>
          <w:szCs w:val="20"/>
        </w:rPr>
        <w:t>testing rates</w:t>
      </w:r>
    </w:p>
    <w:p w14:paraId="20878476" w14:textId="77777777" w:rsidR="00CD49C9" w:rsidRPr="00CA400C" w:rsidRDefault="00CD49C9" w:rsidP="00CD49C9">
      <w:pPr>
        <w:pBdr>
          <w:top w:val="single" w:sz="4" w:space="1" w:color="auto"/>
          <w:left w:val="single" w:sz="4" w:space="4" w:color="auto"/>
          <w:bottom w:val="single" w:sz="4" w:space="1" w:color="auto"/>
          <w:right w:val="single" w:sz="4" w:space="4" w:color="auto"/>
        </w:pBdr>
        <w:rPr>
          <w:i/>
          <w:szCs w:val="20"/>
        </w:rPr>
      </w:pPr>
      <w:r w:rsidRPr="00CA400C">
        <w:rPr>
          <w:i/>
          <w:szCs w:val="20"/>
        </w:rPr>
        <w:t>Clinical utility of test:</w:t>
      </w:r>
    </w:p>
    <w:p w14:paraId="09F15BAB" w14:textId="0AF278E3"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t xml:space="preserve">Efficacy and safety outcomes of </w:t>
      </w:r>
      <w:proofErr w:type="spellStart"/>
      <w:r w:rsidRPr="00CA400C">
        <w:rPr>
          <w:szCs w:val="20"/>
        </w:rPr>
        <w:t>durvalumab</w:t>
      </w:r>
      <w:proofErr w:type="spellEnd"/>
      <w:r w:rsidRPr="00CA400C">
        <w:rPr>
          <w:szCs w:val="20"/>
        </w:rPr>
        <w:t xml:space="preserve"> and </w:t>
      </w:r>
      <w:proofErr w:type="spellStart"/>
      <w:r w:rsidRPr="00CA400C">
        <w:rPr>
          <w:szCs w:val="20"/>
        </w:rPr>
        <w:t>durvalumab</w:t>
      </w:r>
      <w:proofErr w:type="spellEnd"/>
      <w:r w:rsidRPr="00CA400C">
        <w:rPr>
          <w:szCs w:val="20"/>
        </w:rPr>
        <w:t>/</w:t>
      </w:r>
      <w:proofErr w:type="spellStart"/>
      <w:r w:rsidRPr="00CA400C">
        <w:rPr>
          <w:szCs w:val="20"/>
        </w:rPr>
        <w:t>tremelimumab</w:t>
      </w:r>
      <w:proofErr w:type="spellEnd"/>
      <w:r w:rsidRPr="00CA400C">
        <w:rPr>
          <w:szCs w:val="20"/>
        </w:rPr>
        <w:t xml:space="preserve"> treatment with or without PD</w:t>
      </w:r>
      <w:r w:rsidR="00B25D32" w:rsidRPr="00CA400C">
        <w:rPr>
          <w:szCs w:val="20"/>
        </w:rPr>
        <w:noBreakHyphen/>
      </w:r>
      <w:r w:rsidRPr="00CA400C">
        <w:rPr>
          <w:szCs w:val="20"/>
        </w:rPr>
        <w:t>L1 testing</w:t>
      </w:r>
    </w:p>
    <w:p w14:paraId="0B565676" w14:textId="0BE73243" w:rsidR="00CD49C9" w:rsidRPr="00CA400C" w:rsidRDefault="00CD49C9" w:rsidP="00CD49C9">
      <w:pPr>
        <w:pBdr>
          <w:top w:val="single" w:sz="4" w:space="1" w:color="auto"/>
          <w:left w:val="single" w:sz="4" w:space="4" w:color="auto"/>
          <w:bottom w:val="single" w:sz="4" w:space="1" w:color="auto"/>
          <w:right w:val="single" w:sz="4" w:space="4" w:color="auto"/>
        </w:pBdr>
        <w:rPr>
          <w:i/>
          <w:szCs w:val="20"/>
        </w:rPr>
      </w:pPr>
      <w:r w:rsidRPr="00CA400C">
        <w:rPr>
          <w:i/>
          <w:szCs w:val="20"/>
        </w:rPr>
        <w:t>Other test</w:t>
      </w:r>
      <w:r w:rsidR="00B25D32" w:rsidRPr="00CA400C">
        <w:rPr>
          <w:i/>
          <w:szCs w:val="20"/>
        </w:rPr>
        <w:noBreakHyphen/>
      </w:r>
      <w:r w:rsidRPr="00CA400C">
        <w:rPr>
          <w:i/>
          <w:szCs w:val="20"/>
        </w:rPr>
        <w:t>related considerations:</w:t>
      </w:r>
    </w:p>
    <w:p w14:paraId="0A3FAE35" w14:textId="2AB33A2A"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lastRenderedPageBreak/>
        <w:t>Re</w:t>
      </w:r>
      <w:r w:rsidR="00B25D32" w:rsidRPr="00CA400C">
        <w:rPr>
          <w:szCs w:val="20"/>
        </w:rPr>
        <w:noBreakHyphen/>
      </w:r>
      <w:r w:rsidRPr="00CA400C">
        <w:rPr>
          <w:szCs w:val="20"/>
        </w:rPr>
        <w:t>biopsy rates</w:t>
      </w:r>
    </w:p>
    <w:p w14:paraId="480AE9B7" w14:textId="67248AB8"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t>Test turn</w:t>
      </w:r>
      <w:r w:rsidR="00B25D32" w:rsidRPr="00CA400C">
        <w:rPr>
          <w:szCs w:val="20"/>
        </w:rPr>
        <w:noBreakHyphen/>
      </w:r>
      <w:r w:rsidRPr="00CA400C">
        <w:rPr>
          <w:szCs w:val="20"/>
        </w:rPr>
        <w:t>around time</w:t>
      </w:r>
    </w:p>
    <w:p w14:paraId="65B4EFBD" w14:textId="77777777"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t>Estimated number of patients being tested</w:t>
      </w:r>
    </w:p>
    <w:p w14:paraId="695E12D4" w14:textId="3D246A67"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t>Number of patients tested per case of PDL</w:t>
      </w:r>
      <w:r w:rsidR="00B25D32" w:rsidRPr="00CA400C">
        <w:rPr>
          <w:szCs w:val="20"/>
        </w:rPr>
        <w:noBreakHyphen/>
      </w:r>
      <w:r w:rsidRPr="00CA400C">
        <w:rPr>
          <w:szCs w:val="20"/>
        </w:rPr>
        <w:t>1 positive (≥25%) and PD</w:t>
      </w:r>
      <w:r w:rsidR="00B25D32" w:rsidRPr="00CA400C">
        <w:rPr>
          <w:szCs w:val="20"/>
        </w:rPr>
        <w:noBreakHyphen/>
      </w:r>
      <w:r w:rsidRPr="00CA400C">
        <w:rPr>
          <w:szCs w:val="20"/>
        </w:rPr>
        <w:t>L1 negative (&lt;25%) result detected</w:t>
      </w:r>
    </w:p>
    <w:p w14:paraId="590541CE" w14:textId="72C077AF"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t>Number of patients tested per case of PD</w:t>
      </w:r>
      <w:r w:rsidR="00B25D32" w:rsidRPr="00CA400C">
        <w:rPr>
          <w:szCs w:val="20"/>
        </w:rPr>
        <w:noBreakHyphen/>
      </w:r>
      <w:r w:rsidRPr="00CA400C">
        <w:rPr>
          <w:szCs w:val="20"/>
        </w:rPr>
        <w:t xml:space="preserve">L1 positive (≥25%) treated with </w:t>
      </w:r>
      <w:proofErr w:type="spellStart"/>
      <w:r w:rsidRPr="00CA400C">
        <w:rPr>
          <w:szCs w:val="20"/>
        </w:rPr>
        <w:t>durvalumab</w:t>
      </w:r>
      <w:proofErr w:type="spellEnd"/>
      <w:r w:rsidRPr="00CA400C">
        <w:rPr>
          <w:szCs w:val="20"/>
        </w:rPr>
        <w:t xml:space="preserve"> and PD</w:t>
      </w:r>
      <w:r w:rsidR="00B25D32" w:rsidRPr="00CA400C">
        <w:rPr>
          <w:szCs w:val="20"/>
        </w:rPr>
        <w:noBreakHyphen/>
      </w:r>
      <w:r w:rsidRPr="00CA400C">
        <w:rPr>
          <w:szCs w:val="20"/>
        </w:rPr>
        <w:t xml:space="preserve">L1 negative (&lt;25%) treated with </w:t>
      </w:r>
      <w:proofErr w:type="spellStart"/>
      <w:r w:rsidRPr="00CA400C">
        <w:rPr>
          <w:szCs w:val="20"/>
        </w:rPr>
        <w:t>durvalumab</w:t>
      </w:r>
      <w:proofErr w:type="spellEnd"/>
      <w:r w:rsidRPr="00CA400C">
        <w:rPr>
          <w:szCs w:val="20"/>
        </w:rPr>
        <w:t>/</w:t>
      </w:r>
      <w:proofErr w:type="spellStart"/>
      <w:r w:rsidRPr="00CA400C">
        <w:rPr>
          <w:szCs w:val="20"/>
        </w:rPr>
        <w:t>tremelimumab</w:t>
      </w:r>
      <w:proofErr w:type="spellEnd"/>
    </w:p>
    <w:p w14:paraId="39BA602A" w14:textId="0B21607A"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t>Cost of testing per case of PDL</w:t>
      </w:r>
      <w:r w:rsidR="00B25D32" w:rsidRPr="00CA400C">
        <w:rPr>
          <w:szCs w:val="20"/>
        </w:rPr>
        <w:noBreakHyphen/>
      </w:r>
      <w:r w:rsidRPr="00CA400C">
        <w:rPr>
          <w:szCs w:val="20"/>
        </w:rPr>
        <w:t>1 positive (≥25%) and PD</w:t>
      </w:r>
      <w:r w:rsidR="00B25D32" w:rsidRPr="00CA400C">
        <w:rPr>
          <w:szCs w:val="20"/>
        </w:rPr>
        <w:noBreakHyphen/>
      </w:r>
      <w:r w:rsidRPr="00CA400C">
        <w:rPr>
          <w:szCs w:val="20"/>
        </w:rPr>
        <w:t>L1 negative (&lt;25%) result detected</w:t>
      </w:r>
    </w:p>
    <w:p w14:paraId="3E080D6A" w14:textId="7DDEFAE0"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t>Cost of testing per case of PD</w:t>
      </w:r>
      <w:r w:rsidR="00B25D32" w:rsidRPr="00CA400C">
        <w:rPr>
          <w:szCs w:val="20"/>
        </w:rPr>
        <w:noBreakHyphen/>
      </w:r>
      <w:r w:rsidRPr="00CA400C">
        <w:rPr>
          <w:szCs w:val="20"/>
        </w:rPr>
        <w:t xml:space="preserve">L1 positive (≥25%) treated with </w:t>
      </w:r>
      <w:proofErr w:type="spellStart"/>
      <w:r w:rsidRPr="00CA400C">
        <w:rPr>
          <w:szCs w:val="20"/>
        </w:rPr>
        <w:t>durvalumab</w:t>
      </w:r>
      <w:proofErr w:type="spellEnd"/>
      <w:r w:rsidRPr="00CA400C">
        <w:rPr>
          <w:szCs w:val="20"/>
        </w:rPr>
        <w:t xml:space="preserve"> and PD</w:t>
      </w:r>
      <w:r w:rsidR="00B25D32" w:rsidRPr="00CA400C">
        <w:rPr>
          <w:szCs w:val="20"/>
        </w:rPr>
        <w:noBreakHyphen/>
      </w:r>
      <w:r w:rsidRPr="00CA400C">
        <w:rPr>
          <w:szCs w:val="20"/>
        </w:rPr>
        <w:t xml:space="preserve">L1 negative (&lt;25%) treated with </w:t>
      </w:r>
      <w:proofErr w:type="spellStart"/>
      <w:r w:rsidRPr="00CA400C">
        <w:rPr>
          <w:szCs w:val="20"/>
        </w:rPr>
        <w:t>durvalumab</w:t>
      </w:r>
      <w:proofErr w:type="spellEnd"/>
      <w:r w:rsidRPr="00CA400C">
        <w:rPr>
          <w:szCs w:val="20"/>
        </w:rPr>
        <w:t>/</w:t>
      </w:r>
      <w:proofErr w:type="spellStart"/>
      <w:r w:rsidRPr="00CA400C">
        <w:rPr>
          <w:szCs w:val="20"/>
        </w:rPr>
        <w:t>tremelimumab</w:t>
      </w:r>
      <w:proofErr w:type="spellEnd"/>
    </w:p>
    <w:p w14:paraId="55F77366" w14:textId="77777777"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b/>
          <w:i/>
          <w:szCs w:val="20"/>
        </w:rPr>
        <w:t>Drug outcomes</w:t>
      </w:r>
    </w:p>
    <w:p w14:paraId="72A7656D" w14:textId="5E600944" w:rsidR="00545F0D" w:rsidRPr="00CA400C" w:rsidRDefault="00545F0D" w:rsidP="00CD49C9">
      <w:pPr>
        <w:pBdr>
          <w:top w:val="single" w:sz="4" w:space="1" w:color="auto"/>
          <w:left w:val="single" w:sz="4" w:space="4" w:color="auto"/>
          <w:bottom w:val="single" w:sz="4" w:space="1" w:color="auto"/>
          <w:right w:val="single" w:sz="4" w:space="4" w:color="auto"/>
        </w:pBdr>
        <w:rPr>
          <w:i/>
          <w:szCs w:val="20"/>
        </w:rPr>
      </w:pPr>
      <w:r w:rsidRPr="00CA400C">
        <w:rPr>
          <w:i/>
          <w:szCs w:val="20"/>
        </w:rPr>
        <w:t>Second</w:t>
      </w:r>
      <w:r w:rsidR="00B25D32" w:rsidRPr="00CA400C">
        <w:rPr>
          <w:i/>
          <w:szCs w:val="20"/>
        </w:rPr>
        <w:noBreakHyphen/>
      </w:r>
      <w:r w:rsidRPr="00CA400C">
        <w:rPr>
          <w:i/>
          <w:szCs w:val="20"/>
        </w:rPr>
        <w:t>line therapy</w:t>
      </w:r>
    </w:p>
    <w:p w14:paraId="1112EC5F" w14:textId="18D65C80"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t>Primary outcome: Overall survival</w:t>
      </w:r>
    </w:p>
    <w:p w14:paraId="1E02A399" w14:textId="4A92BF53" w:rsidR="00CD49C9" w:rsidRPr="00CA400C" w:rsidRDefault="00CD49C9" w:rsidP="00CD49C9">
      <w:pPr>
        <w:pBdr>
          <w:top w:val="single" w:sz="4" w:space="1" w:color="auto"/>
          <w:left w:val="single" w:sz="4" w:space="4" w:color="auto"/>
          <w:bottom w:val="single" w:sz="4" w:space="1" w:color="auto"/>
          <w:right w:val="single" w:sz="4" w:space="4" w:color="auto"/>
        </w:pBdr>
        <w:rPr>
          <w:szCs w:val="20"/>
        </w:rPr>
      </w:pPr>
      <w:r w:rsidRPr="00CA400C">
        <w:rPr>
          <w:szCs w:val="20"/>
        </w:rPr>
        <w:t>Secondary outcomes: Progression</w:t>
      </w:r>
      <w:r w:rsidR="00B25D32" w:rsidRPr="00CA400C">
        <w:rPr>
          <w:szCs w:val="20"/>
        </w:rPr>
        <w:noBreakHyphen/>
      </w:r>
      <w:r w:rsidRPr="00CA400C">
        <w:rPr>
          <w:szCs w:val="20"/>
        </w:rPr>
        <w:t>free survival, overall response rate, duration of response, disease control rate, the proportion of patients alive and progression</w:t>
      </w:r>
      <w:r w:rsidR="00B25D32" w:rsidRPr="00CA400C">
        <w:rPr>
          <w:szCs w:val="20"/>
        </w:rPr>
        <w:noBreakHyphen/>
      </w:r>
      <w:r w:rsidRPr="00CA400C">
        <w:rPr>
          <w:szCs w:val="20"/>
        </w:rPr>
        <w:t>free at 6 and 12 months, and overall survival at 12, 18 and 24 months.</w:t>
      </w:r>
    </w:p>
    <w:p w14:paraId="5E488285" w14:textId="19B85AD8" w:rsidR="00545F0D" w:rsidRPr="00CA400C" w:rsidRDefault="00545F0D" w:rsidP="00CD49C9">
      <w:pPr>
        <w:pBdr>
          <w:top w:val="single" w:sz="4" w:space="1" w:color="auto"/>
          <w:left w:val="single" w:sz="4" w:space="4" w:color="auto"/>
          <w:bottom w:val="single" w:sz="4" w:space="1" w:color="auto"/>
          <w:right w:val="single" w:sz="4" w:space="4" w:color="auto"/>
        </w:pBdr>
        <w:rPr>
          <w:i/>
          <w:szCs w:val="20"/>
        </w:rPr>
      </w:pPr>
      <w:r w:rsidRPr="00CA400C">
        <w:rPr>
          <w:i/>
          <w:szCs w:val="20"/>
        </w:rPr>
        <w:t>First</w:t>
      </w:r>
      <w:r w:rsidR="00B25D32" w:rsidRPr="00CA400C">
        <w:rPr>
          <w:i/>
          <w:szCs w:val="20"/>
        </w:rPr>
        <w:noBreakHyphen/>
      </w:r>
      <w:r w:rsidRPr="00CA400C">
        <w:rPr>
          <w:i/>
          <w:szCs w:val="20"/>
        </w:rPr>
        <w:t>line therapy</w:t>
      </w:r>
    </w:p>
    <w:p w14:paraId="6B4ED2A2" w14:textId="1FA8512C" w:rsidR="00545F0D" w:rsidRPr="00CA400C" w:rsidRDefault="00545F0D" w:rsidP="00CD49C9">
      <w:pPr>
        <w:pBdr>
          <w:top w:val="single" w:sz="4" w:space="1" w:color="auto"/>
          <w:left w:val="single" w:sz="4" w:space="4" w:color="auto"/>
          <w:bottom w:val="single" w:sz="4" w:space="1" w:color="auto"/>
          <w:right w:val="single" w:sz="4" w:space="4" w:color="auto"/>
        </w:pBdr>
        <w:rPr>
          <w:szCs w:val="20"/>
        </w:rPr>
      </w:pPr>
      <w:r w:rsidRPr="00CA400C">
        <w:rPr>
          <w:szCs w:val="20"/>
        </w:rPr>
        <w:t>Primary outcomes: Overall survival and progression</w:t>
      </w:r>
      <w:r w:rsidR="00B25D32" w:rsidRPr="00CA400C">
        <w:rPr>
          <w:szCs w:val="20"/>
        </w:rPr>
        <w:noBreakHyphen/>
      </w:r>
      <w:r w:rsidRPr="00CA400C">
        <w:rPr>
          <w:szCs w:val="20"/>
        </w:rPr>
        <w:t>free survival</w:t>
      </w:r>
    </w:p>
    <w:p w14:paraId="3E92ECEB" w14:textId="38232976" w:rsidR="005712F6" w:rsidRPr="00CA400C" w:rsidRDefault="00545F0D" w:rsidP="00CD49C9">
      <w:pPr>
        <w:pBdr>
          <w:top w:val="single" w:sz="4" w:space="1" w:color="auto"/>
          <w:left w:val="single" w:sz="4" w:space="4" w:color="auto"/>
          <w:bottom w:val="single" w:sz="4" w:space="1" w:color="auto"/>
          <w:right w:val="single" w:sz="4" w:space="4" w:color="auto"/>
        </w:pBdr>
        <w:rPr>
          <w:szCs w:val="20"/>
        </w:rPr>
      </w:pPr>
      <w:r w:rsidRPr="00CA400C">
        <w:rPr>
          <w:szCs w:val="20"/>
        </w:rPr>
        <w:t xml:space="preserve">Secondary outcomes: Overall response rate, duration of response, second progression, proportion alive </w:t>
      </w:r>
      <w:r w:rsidR="005712F6" w:rsidRPr="00CA400C">
        <w:rPr>
          <w:szCs w:val="20"/>
        </w:rPr>
        <w:t>and progression</w:t>
      </w:r>
      <w:r w:rsidR="00B25D32" w:rsidRPr="00CA400C">
        <w:rPr>
          <w:szCs w:val="20"/>
        </w:rPr>
        <w:noBreakHyphen/>
      </w:r>
      <w:r w:rsidR="005712F6" w:rsidRPr="00CA400C">
        <w:rPr>
          <w:szCs w:val="20"/>
        </w:rPr>
        <w:t xml:space="preserve">free </w:t>
      </w:r>
      <w:r w:rsidRPr="00CA400C">
        <w:rPr>
          <w:szCs w:val="20"/>
        </w:rPr>
        <w:t xml:space="preserve">at </w:t>
      </w:r>
      <w:r w:rsidR="005712F6" w:rsidRPr="00CA400C">
        <w:rPr>
          <w:szCs w:val="20"/>
        </w:rPr>
        <w:t xml:space="preserve">12 months, overall survival at 24 months, quality of life. </w:t>
      </w:r>
    </w:p>
    <w:p w14:paraId="62DC0BC3" w14:textId="77777777" w:rsidR="00CF1AC2" w:rsidRPr="00CA400C" w:rsidRDefault="00CF1AC2" w:rsidP="00092580">
      <w:pPr>
        <w:pStyle w:val="Heading1"/>
        <w:rPr>
          <w:b/>
          <w:sz w:val="32"/>
        </w:rPr>
      </w:pPr>
    </w:p>
    <w:p w14:paraId="2EBC28D5" w14:textId="77777777" w:rsidR="00C776B1" w:rsidRPr="00CA400C" w:rsidRDefault="003433D1" w:rsidP="00092580">
      <w:pPr>
        <w:pStyle w:val="Heading1"/>
      </w:pPr>
      <w:r w:rsidRPr="00CA400C">
        <w:rPr>
          <w:b/>
          <w:sz w:val="32"/>
        </w:rPr>
        <w:br w:type="page"/>
      </w:r>
      <w:r w:rsidR="005C3AE7" w:rsidRPr="00CA400C">
        <w:lastRenderedPageBreak/>
        <w:t>PART 7</w:t>
      </w:r>
      <w:r w:rsidR="00F93784" w:rsidRPr="00CA400C">
        <w:t xml:space="preserve"> – </w:t>
      </w:r>
      <w:r w:rsidR="006C74B1" w:rsidRPr="00CA400C">
        <w:t xml:space="preserve">INFORMATION ABOUT </w:t>
      </w:r>
      <w:r w:rsidR="0018630F" w:rsidRPr="00CA400C">
        <w:t xml:space="preserve">ESTIMATED </w:t>
      </w:r>
      <w:r w:rsidR="00974D50" w:rsidRPr="00CA400C">
        <w:t>UTILISATION</w:t>
      </w:r>
    </w:p>
    <w:p w14:paraId="037749ED" w14:textId="77777777" w:rsidR="006C74B1" w:rsidRPr="00CA400C" w:rsidRDefault="00BE0FDE" w:rsidP="001B5169">
      <w:pPr>
        <w:pStyle w:val="Heading2"/>
      </w:pPr>
      <w:r w:rsidRPr="00CA400C">
        <w:t>Estimate</w:t>
      </w:r>
      <w:r w:rsidR="00974D50" w:rsidRPr="00CA400C">
        <w:t xml:space="preserve"> the prevalence</w:t>
      </w:r>
      <w:r w:rsidR="00B771AD" w:rsidRPr="00CA400C">
        <w:t xml:space="preserve"> and/or incidence</w:t>
      </w:r>
      <w:r w:rsidR="00974D50" w:rsidRPr="00CA400C">
        <w:t xml:space="preserve"> of </w:t>
      </w:r>
      <w:r w:rsidR="00ED0C9F" w:rsidRPr="00CA400C">
        <w:t>the proposed population.</w:t>
      </w:r>
    </w:p>
    <w:p w14:paraId="633052A7" w14:textId="25F0CCE0" w:rsidR="00BC2D6C" w:rsidRPr="00CA400C" w:rsidRDefault="001C7866" w:rsidP="00AE1188">
      <w:pPr>
        <w:ind w:left="426"/>
      </w:pPr>
      <w:r w:rsidRPr="00CA400C">
        <w:fldChar w:fldCharType="begin"/>
      </w:r>
      <w:r w:rsidRPr="00CA400C">
        <w:instrText xml:space="preserve"> REF _Ref478465055 \h </w:instrText>
      </w:r>
      <w:r w:rsidR="00CA400C">
        <w:instrText xml:space="preserve"> \* MERGEFORMAT </w:instrText>
      </w:r>
      <w:r w:rsidRPr="00CA400C">
        <w:fldChar w:fldCharType="separate"/>
      </w:r>
      <w:r w:rsidR="00360B47" w:rsidRPr="00CA400C">
        <w:t xml:space="preserve">Table </w:t>
      </w:r>
      <w:r w:rsidR="00360B47" w:rsidRPr="00CA400C">
        <w:rPr>
          <w:noProof/>
        </w:rPr>
        <w:t>1</w:t>
      </w:r>
      <w:r w:rsidRPr="00CA400C">
        <w:fldChar w:fldCharType="end"/>
      </w:r>
      <w:r w:rsidR="00BC2D6C" w:rsidRPr="00CA400C">
        <w:t xml:space="preserve"> summarises the number of PD</w:t>
      </w:r>
      <w:r w:rsidR="00B25D32" w:rsidRPr="00CA400C">
        <w:noBreakHyphen/>
      </w:r>
      <w:r w:rsidR="00BC2D6C" w:rsidRPr="00CA400C">
        <w:t xml:space="preserve">L1 tests that are expected to be given in a year. </w:t>
      </w:r>
    </w:p>
    <w:p w14:paraId="76632702" w14:textId="4C047314" w:rsidR="00CC289A" w:rsidRPr="00CA400C" w:rsidRDefault="00405B74" w:rsidP="00CC289A">
      <w:pPr>
        <w:ind w:left="426"/>
      </w:pPr>
      <w:r w:rsidRPr="00CA400C">
        <w:t xml:space="preserve">Few data are readily available identifying the number of patients with </w:t>
      </w:r>
      <w:r w:rsidR="005712F6" w:rsidRPr="00CA400C">
        <w:t xml:space="preserve">unresectable </w:t>
      </w:r>
      <w:r w:rsidRPr="00CA400C">
        <w:t xml:space="preserve">SCCHN whose disease recurs or metastasises. </w:t>
      </w:r>
      <w:r w:rsidR="008962E1" w:rsidRPr="00CA400C">
        <w:t>Given that treatment for SCCHN post</w:t>
      </w:r>
      <w:r w:rsidR="008962E1" w:rsidRPr="00CA400C">
        <w:noBreakHyphen/>
        <w:t>recurrence or metastasis is largely palliative and survival is usually 7–10 months (</w:t>
      </w:r>
      <w:proofErr w:type="spellStart"/>
      <w:r w:rsidR="008962E1" w:rsidRPr="00CA400C">
        <w:t>Vermorken</w:t>
      </w:r>
      <w:proofErr w:type="spellEnd"/>
      <w:r w:rsidR="008962E1" w:rsidRPr="00CA400C">
        <w:t xml:space="preserve"> et al 2008), it is assumed that all patients whose disease recurs or metastasises will eventually die from the condition within 12 months. Therefore, the mortality rate for the condition is a reasonable proxy for the annual number of patients whose disease will recur or metastasise</w:t>
      </w:r>
      <w:r w:rsidR="002554C0" w:rsidRPr="00CA400C">
        <w:t xml:space="preserve">, and therefore also as a proxy for the number of </w:t>
      </w:r>
      <w:r w:rsidR="00135CF3" w:rsidRPr="00CA400C">
        <w:t>PD</w:t>
      </w:r>
      <w:r w:rsidR="00B25D32" w:rsidRPr="00CA400C">
        <w:noBreakHyphen/>
      </w:r>
      <w:r w:rsidR="00135CF3" w:rsidRPr="00CA400C">
        <w:t>L1 tests that will be required</w:t>
      </w:r>
      <w:r w:rsidR="002554C0" w:rsidRPr="00CA400C">
        <w:t xml:space="preserve"> (assuming 100% uptake of the test)</w:t>
      </w:r>
      <w:r w:rsidR="00135CF3" w:rsidRPr="00CA400C">
        <w:t>.</w:t>
      </w:r>
      <w:r w:rsidR="00E80507" w:rsidRPr="00CA400C">
        <w:t xml:space="preserve"> </w:t>
      </w:r>
      <w:r w:rsidR="00CC289A" w:rsidRPr="00CA400C">
        <w:t>Using this methodology, the Sponsor estimates that around 892 PD</w:t>
      </w:r>
      <w:r w:rsidR="00CC289A" w:rsidRPr="00CA400C">
        <w:noBreakHyphen/>
        <w:t xml:space="preserve">L1 tests will be undertaken in the first year of MBS listing in this indication. </w:t>
      </w:r>
    </w:p>
    <w:p w14:paraId="5426DD2E" w14:textId="10E3838E" w:rsidR="003138B6" w:rsidRPr="00CA400C" w:rsidRDefault="00CC289A" w:rsidP="00CC289A">
      <w:pPr>
        <w:ind w:left="426"/>
      </w:pPr>
      <w:r w:rsidRPr="00CA400C">
        <w:t>As discussed previously, patients are unlikely to receive immunotherapy in both the first</w:t>
      </w:r>
      <w:r w:rsidRPr="00CA400C">
        <w:noBreakHyphen/>
        <w:t xml:space="preserve"> and second</w:t>
      </w:r>
      <w:r w:rsidRPr="00CA400C">
        <w:noBreakHyphen/>
        <w:t>line settings</w:t>
      </w:r>
      <w:r w:rsidR="00D83247" w:rsidRPr="00CA400C">
        <w:t>;</w:t>
      </w:r>
      <w:r w:rsidRPr="00CA400C">
        <w:t xml:space="preserve"> therefore</w:t>
      </w:r>
      <w:r w:rsidR="00D83247" w:rsidRPr="00CA400C">
        <w:t>,</w:t>
      </w:r>
      <w:r w:rsidRPr="00CA400C">
        <w:t xml:space="preserve"> testing is only likely to occur once prior to initial immunotherapy treatment. </w:t>
      </w:r>
      <w:r w:rsidR="005D73A6" w:rsidRPr="00CA400C">
        <w:t>When</w:t>
      </w:r>
      <w:r w:rsidRPr="00CA400C">
        <w:t xml:space="preserve"> </w:t>
      </w:r>
      <w:proofErr w:type="spellStart"/>
      <w:r w:rsidR="005D73A6" w:rsidRPr="00CA400C">
        <w:t>durvalumab</w:t>
      </w:r>
      <w:proofErr w:type="spellEnd"/>
      <w:r w:rsidR="005D73A6" w:rsidRPr="00CA400C">
        <w:t xml:space="preserve"> and </w:t>
      </w:r>
      <w:proofErr w:type="spellStart"/>
      <w:r w:rsidR="005D73A6" w:rsidRPr="00CA400C">
        <w:t>tremelimumab</w:t>
      </w:r>
      <w:proofErr w:type="spellEnd"/>
      <w:r w:rsidRPr="00CA400C">
        <w:t xml:space="preserve"> are PBS listed, it is expected that immunotherapy with </w:t>
      </w:r>
      <w:r w:rsidR="005D73A6" w:rsidRPr="00CA400C">
        <w:t xml:space="preserve">these drugs </w:t>
      </w:r>
      <w:r w:rsidRPr="00CA400C">
        <w:t>will become the standard of care for patients with SCCHN and that these treatments will increasingly take place in the first</w:t>
      </w:r>
      <w:r w:rsidRPr="00CA400C">
        <w:noBreakHyphen/>
        <w:t>line setting, when recurrence or metastasis is first diagnosed. Therefore, the number of PD</w:t>
      </w:r>
      <w:r w:rsidRPr="00CA400C">
        <w:noBreakHyphen/>
        <w:t>L1 tests to determine eligibility for second-line treatment will reduce over time as patients are increasingly treated in the first</w:t>
      </w:r>
      <w:r w:rsidRPr="00CA400C">
        <w:noBreakHyphen/>
        <w:t>line setting. A more thorough estimation of the expected number of tests will be provided in the PBAC/MSAC co</w:t>
      </w:r>
      <w:r w:rsidRPr="00CA400C">
        <w:noBreakHyphen/>
        <w:t>dependent submissions.</w:t>
      </w:r>
    </w:p>
    <w:p w14:paraId="720011F6" w14:textId="028599FC" w:rsidR="00405B74" w:rsidRPr="00CA400C" w:rsidRDefault="00405B74" w:rsidP="00405B74">
      <w:pPr>
        <w:pStyle w:val="Caption"/>
      </w:pPr>
      <w:bookmarkStart w:id="4" w:name="_Ref478465055"/>
      <w:proofErr w:type="gramStart"/>
      <w:r w:rsidRPr="00CA400C">
        <w:t xml:space="preserve">Table </w:t>
      </w:r>
      <w:r w:rsidR="00236EB6">
        <w:fldChar w:fldCharType="begin"/>
      </w:r>
      <w:r w:rsidR="00236EB6">
        <w:instrText xml:space="preserve"> SEQ Table \* ARABIC </w:instrText>
      </w:r>
      <w:r w:rsidR="00236EB6">
        <w:fldChar w:fldCharType="separate"/>
      </w:r>
      <w:r w:rsidR="00360B47" w:rsidRPr="00CA400C">
        <w:rPr>
          <w:noProof/>
        </w:rPr>
        <w:t>1</w:t>
      </w:r>
      <w:r w:rsidR="00236EB6">
        <w:rPr>
          <w:noProof/>
        </w:rPr>
        <w:fldChar w:fldCharType="end"/>
      </w:r>
      <w:bookmarkEnd w:id="4"/>
      <w:r w:rsidRPr="00CA400C">
        <w:t>.</w:t>
      </w:r>
      <w:proofErr w:type="gramEnd"/>
      <w:r w:rsidRPr="00CA400C">
        <w:t xml:space="preserve"> Estimated number of patients requiring PD</w:t>
      </w:r>
      <w:r w:rsidR="00B25D32" w:rsidRPr="00CA400C">
        <w:noBreakHyphen/>
      </w:r>
      <w:r w:rsidRPr="00CA400C">
        <w:t>L1 testing to direct the treatment of SCCHN</w:t>
      </w:r>
    </w:p>
    <w:tbl>
      <w:tblPr>
        <w:tblStyle w:val="TableGrid1"/>
        <w:tblW w:w="5000" w:type="pct"/>
        <w:tblInd w:w="375" w:type="dxa"/>
        <w:tblLook w:val="04A0" w:firstRow="1" w:lastRow="0" w:firstColumn="1" w:lastColumn="0" w:noHBand="0" w:noVBand="1"/>
        <w:tblDescription w:val="Table 1. Estimated number of patients requiring PD L1 testing to direct the treatment of SCCHN."/>
      </w:tblPr>
      <w:tblGrid>
        <w:gridCol w:w="384"/>
        <w:gridCol w:w="7392"/>
        <w:gridCol w:w="1466"/>
      </w:tblGrid>
      <w:tr w:rsidR="001C7866" w:rsidRPr="00CA400C" w14:paraId="2D1F8DFE" w14:textId="77777777" w:rsidTr="00236EB6">
        <w:trPr>
          <w:trHeight w:val="300"/>
          <w:tblHeader/>
        </w:trPr>
        <w:tc>
          <w:tcPr>
            <w:tcW w:w="208" w:type="pct"/>
          </w:tcPr>
          <w:p w14:paraId="07BE0BEC" w14:textId="77777777" w:rsidR="001C7866" w:rsidRPr="00CA400C" w:rsidRDefault="001C7866" w:rsidP="00405B74">
            <w:pPr>
              <w:spacing w:before="0" w:after="0"/>
              <w:ind w:left="0"/>
              <w:rPr>
                <w:rFonts w:ascii="Calibri" w:eastAsia="Times New Roman" w:hAnsi="Calibri" w:cs="Times New Roman"/>
                <w:color w:val="000000"/>
                <w:lang w:eastAsia="en-AU"/>
              </w:rPr>
            </w:pPr>
            <w:r w:rsidRPr="00CA400C">
              <w:rPr>
                <w:rFonts w:ascii="Calibri" w:eastAsia="Times New Roman" w:hAnsi="Calibri" w:cs="Times New Roman"/>
                <w:color w:val="000000"/>
                <w:lang w:eastAsia="en-AU"/>
              </w:rPr>
              <w:t>A</w:t>
            </w:r>
          </w:p>
        </w:tc>
        <w:tc>
          <w:tcPr>
            <w:tcW w:w="3999" w:type="pct"/>
            <w:noWrap/>
            <w:hideMark/>
          </w:tcPr>
          <w:p w14:paraId="20DC1276" w14:textId="77777777" w:rsidR="001C7866" w:rsidRPr="00CA400C" w:rsidRDefault="001C7866" w:rsidP="00405B74">
            <w:pPr>
              <w:spacing w:before="0" w:after="0"/>
              <w:ind w:left="0"/>
              <w:rPr>
                <w:rFonts w:ascii="Calibri" w:eastAsia="Times New Roman" w:hAnsi="Calibri" w:cs="Times New Roman"/>
                <w:color w:val="000000"/>
                <w:lang w:eastAsia="en-AU"/>
              </w:rPr>
            </w:pPr>
            <w:r w:rsidRPr="00CA400C">
              <w:rPr>
                <w:rFonts w:ascii="Calibri" w:eastAsia="Times New Roman" w:hAnsi="Calibri" w:cs="Times New Roman"/>
                <w:color w:val="000000"/>
                <w:lang w:eastAsia="en-AU"/>
              </w:rPr>
              <w:t>Australian population 2017</w:t>
            </w:r>
          </w:p>
        </w:tc>
        <w:tc>
          <w:tcPr>
            <w:tcW w:w="793" w:type="pct"/>
            <w:noWrap/>
            <w:hideMark/>
          </w:tcPr>
          <w:p w14:paraId="35BCF569" w14:textId="77777777" w:rsidR="001C7866" w:rsidRPr="00CA400C" w:rsidRDefault="001C7866" w:rsidP="00405B74">
            <w:pPr>
              <w:spacing w:before="0" w:after="0"/>
              <w:ind w:left="0"/>
              <w:jc w:val="right"/>
              <w:rPr>
                <w:rFonts w:ascii="Calibri" w:eastAsia="Times New Roman" w:hAnsi="Calibri" w:cs="Times New Roman"/>
                <w:color w:val="000000"/>
                <w:lang w:eastAsia="en-AU"/>
              </w:rPr>
            </w:pPr>
            <w:r w:rsidRPr="00CA400C">
              <w:rPr>
                <w:rFonts w:ascii="Calibri" w:eastAsia="Times New Roman" w:hAnsi="Calibri" w:cs="Times New Roman"/>
                <w:color w:val="000000"/>
                <w:lang w:eastAsia="en-AU"/>
              </w:rPr>
              <w:t>24,781,121</w:t>
            </w:r>
          </w:p>
        </w:tc>
      </w:tr>
      <w:tr w:rsidR="001C7866" w:rsidRPr="00CA400C" w14:paraId="0EF90228" w14:textId="77777777" w:rsidTr="00236EB6">
        <w:trPr>
          <w:trHeight w:val="300"/>
          <w:tblHeader/>
        </w:trPr>
        <w:tc>
          <w:tcPr>
            <w:tcW w:w="208" w:type="pct"/>
          </w:tcPr>
          <w:p w14:paraId="2E9722BD" w14:textId="77777777" w:rsidR="001C7866" w:rsidRPr="00CA400C" w:rsidRDefault="001C7866" w:rsidP="00405B74">
            <w:pPr>
              <w:spacing w:before="0" w:after="0"/>
              <w:ind w:left="0"/>
              <w:rPr>
                <w:rFonts w:ascii="Calibri" w:eastAsia="Times New Roman" w:hAnsi="Calibri" w:cs="Times New Roman"/>
                <w:color w:val="000000"/>
                <w:lang w:eastAsia="en-AU"/>
              </w:rPr>
            </w:pPr>
            <w:r w:rsidRPr="00CA400C">
              <w:rPr>
                <w:rFonts w:ascii="Calibri" w:eastAsia="Times New Roman" w:hAnsi="Calibri" w:cs="Times New Roman"/>
                <w:color w:val="000000"/>
                <w:lang w:eastAsia="en-AU"/>
              </w:rPr>
              <w:t>B</w:t>
            </w:r>
          </w:p>
        </w:tc>
        <w:tc>
          <w:tcPr>
            <w:tcW w:w="3999" w:type="pct"/>
            <w:noWrap/>
            <w:hideMark/>
          </w:tcPr>
          <w:p w14:paraId="771C81DA" w14:textId="77777777" w:rsidR="001C7866" w:rsidRPr="00CA400C" w:rsidRDefault="001C7866" w:rsidP="00405B74">
            <w:pPr>
              <w:spacing w:before="0" w:after="0"/>
              <w:ind w:left="0"/>
              <w:rPr>
                <w:rFonts w:ascii="Calibri" w:eastAsia="Times New Roman" w:hAnsi="Calibri" w:cs="Times New Roman"/>
                <w:color w:val="000000"/>
                <w:lang w:eastAsia="en-AU"/>
              </w:rPr>
            </w:pPr>
            <w:r w:rsidRPr="00CA400C">
              <w:rPr>
                <w:rFonts w:ascii="Calibri" w:eastAsia="Times New Roman" w:hAnsi="Calibri" w:cs="Times New Roman"/>
                <w:color w:val="000000"/>
                <w:lang w:eastAsia="en-AU"/>
              </w:rPr>
              <w:t>Incidence rate</w:t>
            </w:r>
            <w:r w:rsidR="00134EA3" w:rsidRPr="00CA400C">
              <w:rPr>
                <w:rFonts w:ascii="Calibri" w:eastAsia="Times New Roman" w:hAnsi="Calibri" w:cs="Times New Roman"/>
                <w:color w:val="000000"/>
                <w:lang w:eastAsia="en-AU"/>
              </w:rPr>
              <w:t xml:space="preserve"> of SCCHN</w:t>
            </w:r>
          </w:p>
        </w:tc>
        <w:tc>
          <w:tcPr>
            <w:tcW w:w="793" w:type="pct"/>
            <w:noWrap/>
            <w:hideMark/>
          </w:tcPr>
          <w:p w14:paraId="1BAE7631" w14:textId="77777777" w:rsidR="001C7866" w:rsidRPr="00CA400C" w:rsidRDefault="001C7866" w:rsidP="00405B74">
            <w:pPr>
              <w:spacing w:before="0" w:after="0"/>
              <w:ind w:left="0"/>
              <w:jc w:val="right"/>
              <w:rPr>
                <w:rFonts w:ascii="Calibri" w:eastAsia="Times New Roman" w:hAnsi="Calibri" w:cs="Times New Roman"/>
                <w:color w:val="000000"/>
                <w:lang w:eastAsia="en-AU"/>
              </w:rPr>
            </w:pPr>
            <w:r w:rsidRPr="00CA400C">
              <w:rPr>
                <w:rFonts w:ascii="Calibri" w:eastAsia="Times New Roman" w:hAnsi="Calibri" w:cs="Times New Roman"/>
                <w:color w:val="000000"/>
                <w:lang w:eastAsia="en-AU"/>
              </w:rPr>
              <w:t>17.2/100,000</w:t>
            </w:r>
          </w:p>
        </w:tc>
      </w:tr>
      <w:tr w:rsidR="001C7866" w:rsidRPr="00CA400C" w14:paraId="0C5DB82D" w14:textId="77777777" w:rsidTr="00236EB6">
        <w:trPr>
          <w:trHeight w:val="300"/>
          <w:tblHeader/>
        </w:trPr>
        <w:tc>
          <w:tcPr>
            <w:tcW w:w="208" w:type="pct"/>
          </w:tcPr>
          <w:p w14:paraId="01D46F88" w14:textId="77777777" w:rsidR="001C7866" w:rsidRPr="00CA400C" w:rsidRDefault="001C7866" w:rsidP="00405B74">
            <w:pPr>
              <w:spacing w:before="0" w:after="0"/>
              <w:ind w:left="0"/>
              <w:rPr>
                <w:rFonts w:ascii="Calibri" w:eastAsia="Times New Roman" w:hAnsi="Calibri" w:cs="Times New Roman"/>
                <w:color w:val="000000"/>
                <w:lang w:eastAsia="en-AU"/>
              </w:rPr>
            </w:pPr>
            <w:r w:rsidRPr="00CA400C">
              <w:rPr>
                <w:rFonts w:ascii="Calibri" w:eastAsia="Times New Roman" w:hAnsi="Calibri" w:cs="Times New Roman"/>
                <w:color w:val="000000"/>
                <w:lang w:eastAsia="en-AU"/>
              </w:rPr>
              <w:t>C</w:t>
            </w:r>
          </w:p>
        </w:tc>
        <w:tc>
          <w:tcPr>
            <w:tcW w:w="3999" w:type="pct"/>
            <w:noWrap/>
            <w:hideMark/>
          </w:tcPr>
          <w:p w14:paraId="4DC77452" w14:textId="77777777" w:rsidR="001C7866" w:rsidRPr="00CA400C" w:rsidRDefault="001C7866" w:rsidP="00405B74">
            <w:pPr>
              <w:spacing w:before="0" w:after="0"/>
              <w:ind w:left="0"/>
              <w:rPr>
                <w:rFonts w:ascii="Calibri" w:eastAsia="Times New Roman" w:hAnsi="Calibri" w:cs="Times New Roman"/>
                <w:color w:val="000000"/>
                <w:lang w:eastAsia="en-AU"/>
              </w:rPr>
            </w:pPr>
            <w:r w:rsidRPr="00CA400C">
              <w:rPr>
                <w:rFonts w:ascii="Calibri" w:eastAsia="Times New Roman" w:hAnsi="Calibri" w:cs="Times New Roman"/>
                <w:color w:val="000000"/>
                <w:lang w:eastAsia="en-AU"/>
              </w:rPr>
              <w:t>Proportion with squamous cell origin</w:t>
            </w:r>
          </w:p>
        </w:tc>
        <w:tc>
          <w:tcPr>
            <w:tcW w:w="793" w:type="pct"/>
            <w:noWrap/>
            <w:hideMark/>
          </w:tcPr>
          <w:p w14:paraId="77C6454E" w14:textId="77777777" w:rsidR="001C7866" w:rsidRPr="00CA400C" w:rsidRDefault="001C7866" w:rsidP="00405B74">
            <w:pPr>
              <w:spacing w:before="0" w:after="0"/>
              <w:ind w:left="0"/>
              <w:jc w:val="right"/>
              <w:rPr>
                <w:rFonts w:ascii="Calibri" w:eastAsia="Times New Roman" w:hAnsi="Calibri" w:cs="Times New Roman"/>
                <w:color w:val="000000"/>
                <w:lang w:eastAsia="en-AU"/>
              </w:rPr>
            </w:pPr>
            <w:r w:rsidRPr="00CA400C">
              <w:rPr>
                <w:rFonts w:ascii="Calibri" w:eastAsia="Times New Roman" w:hAnsi="Calibri" w:cs="Times New Roman"/>
                <w:color w:val="000000"/>
                <w:lang w:eastAsia="en-AU"/>
              </w:rPr>
              <w:t>90%</w:t>
            </w:r>
          </w:p>
        </w:tc>
      </w:tr>
      <w:tr w:rsidR="001C7866" w:rsidRPr="00CA400C" w14:paraId="220D64A5" w14:textId="77777777" w:rsidTr="00236EB6">
        <w:trPr>
          <w:trHeight w:val="300"/>
          <w:tblHeader/>
        </w:trPr>
        <w:tc>
          <w:tcPr>
            <w:tcW w:w="208" w:type="pct"/>
          </w:tcPr>
          <w:p w14:paraId="026F4D20" w14:textId="77777777" w:rsidR="001C7866" w:rsidRPr="00CA400C" w:rsidRDefault="001C7866" w:rsidP="00405B74">
            <w:pPr>
              <w:spacing w:before="0" w:after="0"/>
              <w:ind w:left="0"/>
              <w:rPr>
                <w:rFonts w:ascii="Calibri" w:eastAsia="Times New Roman" w:hAnsi="Calibri" w:cs="Times New Roman"/>
                <w:b/>
                <w:color w:val="000000"/>
                <w:lang w:eastAsia="en-AU"/>
              </w:rPr>
            </w:pPr>
            <w:r w:rsidRPr="00CA400C">
              <w:rPr>
                <w:rFonts w:ascii="Calibri" w:eastAsia="Times New Roman" w:hAnsi="Calibri" w:cs="Times New Roman"/>
                <w:b/>
                <w:color w:val="000000"/>
                <w:lang w:eastAsia="en-AU"/>
              </w:rPr>
              <w:t>D</w:t>
            </w:r>
          </w:p>
        </w:tc>
        <w:tc>
          <w:tcPr>
            <w:tcW w:w="3999" w:type="pct"/>
            <w:noWrap/>
            <w:hideMark/>
          </w:tcPr>
          <w:p w14:paraId="02EE6FA3" w14:textId="77777777" w:rsidR="001C7866" w:rsidRPr="00CA400C" w:rsidRDefault="001C7866" w:rsidP="00405B74">
            <w:pPr>
              <w:spacing w:before="0" w:after="0"/>
              <w:ind w:left="0"/>
              <w:rPr>
                <w:rFonts w:ascii="Calibri" w:eastAsia="Times New Roman" w:hAnsi="Calibri" w:cs="Times New Roman"/>
                <w:b/>
                <w:color w:val="000000"/>
                <w:lang w:eastAsia="en-AU"/>
              </w:rPr>
            </w:pPr>
            <w:r w:rsidRPr="00CA400C">
              <w:rPr>
                <w:rFonts w:ascii="Calibri" w:eastAsia="Times New Roman" w:hAnsi="Calibri" w:cs="Times New Roman"/>
                <w:b/>
                <w:color w:val="000000"/>
                <w:lang w:eastAsia="en-AU"/>
              </w:rPr>
              <w:t>Number of new cases</w:t>
            </w:r>
            <w:r w:rsidR="00500465" w:rsidRPr="00CA400C">
              <w:rPr>
                <w:rFonts w:ascii="Calibri" w:eastAsia="Times New Roman" w:hAnsi="Calibri" w:cs="Times New Roman"/>
                <w:b/>
                <w:color w:val="000000"/>
                <w:lang w:eastAsia="en-AU"/>
              </w:rPr>
              <w:t xml:space="preserve"> </w:t>
            </w:r>
            <w:r w:rsidR="00500465" w:rsidRPr="00CA400C">
              <w:rPr>
                <w:rFonts w:ascii="Calibri" w:eastAsia="Times New Roman" w:hAnsi="Calibri" w:cs="Times New Roman"/>
                <w:i/>
                <w:color w:val="000000"/>
                <w:lang w:eastAsia="en-AU"/>
              </w:rPr>
              <w:t>(A x B x C)</w:t>
            </w:r>
          </w:p>
        </w:tc>
        <w:tc>
          <w:tcPr>
            <w:tcW w:w="793" w:type="pct"/>
            <w:noWrap/>
            <w:hideMark/>
          </w:tcPr>
          <w:p w14:paraId="103D7DBD" w14:textId="77777777" w:rsidR="001C7866" w:rsidRPr="00CA400C" w:rsidRDefault="001C7866" w:rsidP="00405B74">
            <w:pPr>
              <w:spacing w:before="0" w:after="0"/>
              <w:ind w:left="0"/>
              <w:jc w:val="right"/>
              <w:rPr>
                <w:rFonts w:ascii="Calibri" w:eastAsia="Times New Roman" w:hAnsi="Calibri" w:cs="Times New Roman"/>
                <w:b/>
                <w:color w:val="000000"/>
                <w:lang w:eastAsia="en-AU"/>
              </w:rPr>
            </w:pPr>
            <w:r w:rsidRPr="00CA400C">
              <w:rPr>
                <w:rFonts w:ascii="Calibri" w:eastAsia="Times New Roman" w:hAnsi="Calibri" w:cs="Times New Roman"/>
                <w:b/>
                <w:color w:val="000000"/>
                <w:lang w:eastAsia="en-AU"/>
              </w:rPr>
              <w:t>3,836</w:t>
            </w:r>
          </w:p>
        </w:tc>
      </w:tr>
      <w:tr w:rsidR="001C7866" w:rsidRPr="00CA400C" w14:paraId="0F2C3470" w14:textId="77777777" w:rsidTr="00236EB6">
        <w:trPr>
          <w:trHeight w:val="300"/>
          <w:tblHeader/>
        </w:trPr>
        <w:tc>
          <w:tcPr>
            <w:tcW w:w="208" w:type="pct"/>
          </w:tcPr>
          <w:p w14:paraId="76DAC781" w14:textId="77777777" w:rsidR="001C7866" w:rsidRPr="00CA400C" w:rsidRDefault="001C7866" w:rsidP="00405B74">
            <w:pPr>
              <w:spacing w:before="0" w:after="0"/>
              <w:ind w:left="0"/>
              <w:rPr>
                <w:rFonts w:ascii="Calibri" w:eastAsia="Times New Roman" w:hAnsi="Calibri" w:cs="Times New Roman"/>
                <w:color w:val="000000"/>
                <w:lang w:eastAsia="en-AU"/>
              </w:rPr>
            </w:pPr>
            <w:r w:rsidRPr="00CA400C">
              <w:rPr>
                <w:rFonts w:ascii="Calibri" w:eastAsia="Times New Roman" w:hAnsi="Calibri" w:cs="Times New Roman"/>
                <w:color w:val="000000"/>
                <w:lang w:eastAsia="en-AU"/>
              </w:rPr>
              <w:t>E</w:t>
            </w:r>
          </w:p>
        </w:tc>
        <w:tc>
          <w:tcPr>
            <w:tcW w:w="3999" w:type="pct"/>
            <w:noWrap/>
            <w:hideMark/>
          </w:tcPr>
          <w:p w14:paraId="42248504" w14:textId="77777777" w:rsidR="001C7866" w:rsidRPr="00CA400C" w:rsidRDefault="001C7866" w:rsidP="00405B74">
            <w:pPr>
              <w:spacing w:before="0" w:after="0"/>
              <w:ind w:left="0"/>
              <w:rPr>
                <w:rFonts w:ascii="Calibri" w:eastAsia="Times New Roman" w:hAnsi="Calibri" w:cs="Times New Roman"/>
                <w:color w:val="000000"/>
                <w:lang w:eastAsia="en-AU"/>
              </w:rPr>
            </w:pPr>
            <w:r w:rsidRPr="00CA400C">
              <w:rPr>
                <w:rFonts w:ascii="Calibri" w:eastAsia="Times New Roman" w:hAnsi="Calibri" w:cs="Times New Roman"/>
                <w:color w:val="000000"/>
                <w:lang w:eastAsia="en-AU"/>
              </w:rPr>
              <w:t>Mortality rate</w:t>
            </w:r>
            <w:bookmarkStart w:id="5" w:name="_GoBack"/>
            <w:bookmarkEnd w:id="5"/>
          </w:p>
        </w:tc>
        <w:tc>
          <w:tcPr>
            <w:tcW w:w="793" w:type="pct"/>
            <w:noWrap/>
            <w:hideMark/>
          </w:tcPr>
          <w:p w14:paraId="0E0FCCB0" w14:textId="77777777" w:rsidR="001C7866" w:rsidRPr="00CA400C" w:rsidRDefault="001C7866" w:rsidP="00405B74">
            <w:pPr>
              <w:spacing w:before="0" w:after="0"/>
              <w:ind w:left="0"/>
              <w:jc w:val="right"/>
              <w:rPr>
                <w:rFonts w:ascii="Calibri" w:eastAsia="Times New Roman" w:hAnsi="Calibri" w:cs="Times New Roman"/>
                <w:color w:val="000000"/>
                <w:lang w:eastAsia="en-AU"/>
              </w:rPr>
            </w:pPr>
            <w:r w:rsidRPr="00CA400C">
              <w:rPr>
                <w:rFonts w:ascii="Calibri" w:eastAsia="Times New Roman" w:hAnsi="Calibri" w:cs="Times New Roman"/>
                <w:color w:val="000000"/>
                <w:lang w:eastAsia="en-AU"/>
              </w:rPr>
              <w:t>4/100,000</w:t>
            </w:r>
          </w:p>
        </w:tc>
      </w:tr>
      <w:tr w:rsidR="001C7866" w:rsidRPr="00CA400C" w14:paraId="18D307F6" w14:textId="77777777" w:rsidTr="00236EB6">
        <w:trPr>
          <w:trHeight w:val="300"/>
          <w:tblHeader/>
        </w:trPr>
        <w:tc>
          <w:tcPr>
            <w:tcW w:w="208" w:type="pct"/>
          </w:tcPr>
          <w:p w14:paraId="2DE45E84" w14:textId="77777777" w:rsidR="001C7866" w:rsidRPr="00CA400C" w:rsidRDefault="001C7866" w:rsidP="00405B74">
            <w:pPr>
              <w:spacing w:before="0" w:after="0"/>
              <w:ind w:left="0"/>
              <w:rPr>
                <w:rFonts w:ascii="Calibri" w:eastAsia="Times New Roman" w:hAnsi="Calibri" w:cs="Times New Roman"/>
                <w:b/>
                <w:color w:val="000000"/>
                <w:lang w:eastAsia="en-AU"/>
              </w:rPr>
            </w:pPr>
            <w:r w:rsidRPr="00CA400C">
              <w:rPr>
                <w:rFonts w:ascii="Calibri" w:eastAsia="Times New Roman" w:hAnsi="Calibri" w:cs="Times New Roman"/>
                <w:b/>
                <w:color w:val="000000"/>
                <w:lang w:eastAsia="en-AU"/>
              </w:rPr>
              <w:t>F</w:t>
            </w:r>
          </w:p>
        </w:tc>
        <w:tc>
          <w:tcPr>
            <w:tcW w:w="3999" w:type="pct"/>
            <w:hideMark/>
          </w:tcPr>
          <w:p w14:paraId="2D0ABFC7" w14:textId="77777777" w:rsidR="001C7866" w:rsidRPr="00CA400C" w:rsidRDefault="001C7866" w:rsidP="00405B74">
            <w:pPr>
              <w:spacing w:before="0" w:after="0"/>
              <w:ind w:left="0"/>
              <w:rPr>
                <w:rFonts w:ascii="Calibri" w:eastAsia="Times New Roman" w:hAnsi="Calibri" w:cs="Times New Roman"/>
                <w:b/>
                <w:color w:val="000000"/>
                <w:lang w:eastAsia="en-AU"/>
              </w:rPr>
            </w:pPr>
            <w:r w:rsidRPr="00CA400C">
              <w:rPr>
                <w:rFonts w:ascii="Calibri" w:eastAsia="Times New Roman" w:hAnsi="Calibri" w:cs="Times New Roman"/>
                <w:b/>
                <w:color w:val="000000"/>
                <w:lang w:eastAsia="en-AU"/>
              </w:rPr>
              <w:t xml:space="preserve">Number of recurrent or metastatic cases </w:t>
            </w:r>
            <w:r w:rsidRPr="00CA400C">
              <w:rPr>
                <w:rFonts w:ascii="Calibri" w:eastAsia="Times New Roman" w:hAnsi="Calibri" w:cs="Times New Roman"/>
                <w:color w:val="000000"/>
                <w:lang w:eastAsia="en-AU"/>
              </w:rPr>
              <w:t>(using mortality as a proxy measure)</w:t>
            </w:r>
            <w:r w:rsidR="00500465" w:rsidRPr="00CA400C">
              <w:rPr>
                <w:rFonts w:ascii="Calibri" w:eastAsia="Times New Roman" w:hAnsi="Calibri" w:cs="Times New Roman"/>
                <w:color w:val="000000"/>
                <w:lang w:eastAsia="en-AU"/>
              </w:rPr>
              <w:br/>
            </w:r>
            <w:r w:rsidR="00500465" w:rsidRPr="00CA400C">
              <w:rPr>
                <w:rFonts w:ascii="Calibri" w:eastAsia="Times New Roman" w:hAnsi="Calibri" w:cs="Times New Roman"/>
                <w:i/>
                <w:color w:val="000000"/>
                <w:lang w:eastAsia="en-AU"/>
              </w:rPr>
              <w:t>(A x C x E)</w:t>
            </w:r>
          </w:p>
        </w:tc>
        <w:tc>
          <w:tcPr>
            <w:tcW w:w="793" w:type="pct"/>
            <w:noWrap/>
            <w:hideMark/>
          </w:tcPr>
          <w:p w14:paraId="106BF642" w14:textId="77777777" w:rsidR="001C7866" w:rsidRPr="00CA400C" w:rsidRDefault="001C7866" w:rsidP="00405B74">
            <w:pPr>
              <w:spacing w:before="0" w:after="0"/>
              <w:ind w:left="0"/>
              <w:jc w:val="right"/>
              <w:rPr>
                <w:rFonts w:ascii="Calibri" w:eastAsia="Times New Roman" w:hAnsi="Calibri" w:cs="Times New Roman"/>
                <w:b/>
                <w:color w:val="000000"/>
                <w:lang w:eastAsia="en-AU"/>
              </w:rPr>
            </w:pPr>
            <w:r w:rsidRPr="00CA400C">
              <w:rPr>
                <w:rFonts w:ascii="Calibri" w:eastAsia="Times New Roman" w:hAnsi="Calibri" w:cs="Times New Roman"/>
                <w:b/>
                <w:color w:val="000000"/>
                <w:lang w:eastAsia="en-AU"/>
              </w:rPr>
              <w:t>892</w:t>
            </w:r>
          </w:p>
        </w:tc>
      </w:tr>
    </w:tbl>
    <w:p w14:paraId="2237A7F3" w14:textId="77777777" w:rsidR="00405B74" w:rsidRPr="00CA400C" w:rsidRDefault="00135CF3" w:rsidP="00AE1188">
      <w:pPr>
        <w:ind w:left="426"/>
        <w:rPr>
          <w:b/>
          <w:i/>
          <w:sz w:val="16"/>
          <w:szCs w:val="20"/>
        </w:rPr>
      </w:pPr>
      <w:r w:rsidRPr="00CA400C">
        <w:rPr>
          <w:b/>
          <w:i/>
          <w:sz w:val="16"/>
          <w:szCs w:val="20"/>
        </w:rPr>
        <w:t>References</w:t>
      </w:r>
    </w:p>
    <w:p w14:paraId="4C32CB4D" w14:textId="77777777" w:rsidR="00135CF3" w:rsidRPr="00CA400C" w:rsidRDefault="00135CF3" w:rsidP="00AE1188">
      <w:pPr>
        <w:ind w:left="426"/>
        <w:rPr>
          <w:sz w:val="16"/>
          <w:szCs w:val="20"/>
        </w:rPr>
      </w:pPr>
      <w:proofErr w:type="gramStart"/>
      <w:r w:rsidRPr="00CA400C">
        <w:rPr>
          <w:sz w:val="16"/>
          <w:szCs w:val="20"/>
        </w:rPr>
        <w:t>ABS Australian population projections.</w:t>
      </w:r>
      <w:proofErr w:type="gramEnd"/>
      <w:r w:rsidRPr="00CA400C">
        <w:rPr>
          <w:sz w:val="16"/>
          <w:szCs w:val="20"/>
        </w:rPr>
        <w:t xml:space="preserve"> Publication 3222.0 Series B. Available at http://www.abs.gov.au/ausstats/abs@.nsf/mf/3222.0. </w:t>
      </w:r>
      <w:proofErr w:type="gramStart"/>
      <w:r w:rsidRPr="00CA400C">
        <w:rPr>
          <w:sz w:val="16"/>
          <w:szCs w:val="20"/>
        </w:rPr>
        <w:t>Accessed 28 March 2017.</w:t>
      </w:r>
      <w:proofErr w:type="gramEnd"/>
    </w:p>
    <w:p w14:paraId="53AE2163" w14:textId="7DCFCCE5" w:rsidR="00135CF3" w:rsidRPr="00CA400C" w:rsidRDefault="00135CF3" w:rsidP="00AE1188">
      <w:pPr>
        <w:ind w:left="426"/>
        <w:rPr>
          <w:sz w:val="16"/>
          <w:szCs w:val="20"/>
        </w:rPr>
      </w:pPr>
      <w:proofErr w:type="gramStart"/>
      <w:r w:rsidRPr="00CA400C">
        <w:rPr>
          <w:sz w:val="16"/>
          <w:szCs w:val="20"/>
        </w:rPr>
        <w:t>Australian Institute of Health and Welfare (AIHW) 2017.</w:t>
      </w:r>
      <w:proofErr w:type="gramEnd"/>
      <w:r w:rsidRPr="00CA400C">
        <w:rPr>
          <w:sz w:val="16"/>
          <w:szCs w:val="20"/>
        </w:rPr>
        <w:t xml:space="preserve"> </w:t>
      </w:r>
      <w:proofErr w:type="gramStart"/>
      <w:r w:rsidRPr="00CA400C">
        <w:rPr>
          <w:sz w:val="16"/>
          <w:szCs w:val="20"/>
        </w:rPr>
        <w:t>Australian Cancer Incidence and Mortality (ACIM) books.</w:t>
      </w:r>
      <w:proofErr w:type="gramEnd"/>
      <w:r w:rsidRPr="00CA400C">
        <w:rPr>
          <w:sz w:val="16"/>
          <w:szCs w:val="20"/>
        </w:rPr>
        <w:t xml:space="preserve"> </w:t>
      </w:r>
      <w:proofErr w:type="gramStart"/>
      <w:r w:rsidR="00467252" w:rsidRPr="00CA400C">
        <w:rPr>
          <w:sz w:val="16"/>
          <w:szCs w:val="20"/>
        </w:rPr>
        <w:t>ACIM Book for Head and Neck Including Lip.</w:t>
      </w:r>
      <w:proofErr w:type="gramEnd"/>
      <w:r w:rsidR="00467252" w:rsidRPr="00CA400C">
        <w:rPr>
          <w:sz w:val="16"/>
          <w:szCs w:val="20"/>
        </w:rPr>
        <w:t xml:space="preserve"> </w:t>
      </w:r>
      <w:r w:rsidRPr="00CA400C">
        <w:rPr>
          <w:sz w:val="16"/>
          <w:szCs w:val="20"/>
        </w:rPr>
        <w:t xml:space="preserve">Canberra: AIHW. </w:t>
      </w:r>
      <w:proofErr w:type="gramStart"/>
      <w:r w:rsidRPr="00CA400C">
        <w:rPr>
          <w:sz w:val="16"/>
          <w:szCs w:val="20"/>
        </w:rPr>
        <w:t xml:space="preserve">Available at </w:t>
      </w:r>
      <w:proofErr w:type="gramEnd"/>
      <w:r w:rsidRPr="00CA400C">
        <w:rPr>
          <w:sz w:val="16"/>
          <w:szCs w:val="20"/>
        </w:rPr>
        <w:t>http://www.aihw.gov.au/acim</w:t>
      </w:r>
      <w:r w:rsidR="00B25D32" w:rsidRPr="00CA400C">
        <w:rPr>
          <w:sz w:val="16"/>
          <w:szCs w:val="20"/>
        </w:rPr>
        <w:noBreakHyphen/>
      </w:r>
      <w:r w:rsidRPr="00CA400C">
        <w:rPr>
          <w:sz w:val="16"/>
          <w:szCs w:val="20"/>
        </w:rPr>
        <w:t>books</w:t>
      </w:r>
      <w:proofErr w:type="gramStart"/>
      <w:r w:rsidRPr="00CA400C">
        <w:rPr>
          <w:sz w:val="16"/>
          <w:szCs w:val="20"/>
        </w:rPr>
        <w:t>.</w:t>
      </w:r>
      <w:proofErr w:type="gramEnd"/>
      <w:r w:rsidRPr="00CA400C">
        <w:rPr>
          <w:sz w:val="16"/>
          <w:szCs w:val="20"/>
        </w:rPr>
        <w:t xml:space="preserve"> </w:t>
      </w:r>
      <w:proofErr w:type="gramStart"/>
      <w:r w:rsidRPr="00CA400C">
        <w:rPr>
          <w:sz w:val="16"/>
          <w:szCs w:val="20"/>
        </w:rPr>
        <w:t>Accessed 28 March 2017.</w:t>
      </w:r>
      <w:proofErr w:type="gramEnd"/>
      <w:r w:rsidRPr="00CA400C">
        <w:rPr>
          <w:sz w:val="16"/>
          <w:szCs w:val="20"/>
        </w:rPr>
        <w:t xml:space="preserve"> </w:t>
      </w:r>
    </w:p>
    <w:p w14:paraId="27F4624E" w14:textId="1848DCCF" w:rsidR="008962E1" w:rsidRPr="00CA400C" w:rsidRDefault="008962E1" w:rsidP="008962E1">
      <w:pPr>
        <w:rPr>
          <w:sz w:val="16"/>
        </w:rPr>
      </w:pPr>
      <w:proofErr w:type="spellStart"/>
      <w:proofErr w:type="gramStart"/>
      <w:r w:rsidRPr="00CA400C">
        <w:rPr>
          <w:sz w:val="16"/>
        </w:rPr>
        <w:t>Vermorken</w:t>
      </w:r>
      <w:proofErr w:type="spellEnd"/>
      <w:r w:rsidRPr="00CA400C">
        <w:rPr>
          <w:sz w:val="16"/>
        </w:rPr>
        <w:t xml:space="preserve"> JB et al. Platinum</w:t>
      </w:r>
      <w:r w:rsidRPr="00CA400C">
        <w:rPr>
          <w:sz w:val="16"/>
        </w:rPr>
        <w:noBreakHyphen/>
        <w:t xml:space="preserve">Based Chemotherapy plus </w:t>
      </w:r>
      <w:proofErr w:type="spellStart"/>
      <w:r w:rsidRPr="00CA400C">
        <w:rPr>
          <w:sz w:val="16"/>
        </w:rPr>
        <w:t>Cetuximab</w:t>
      </w:r>
      <w:proofErr w:type="spellEnd"/>
      <w:r w:rsidRPr="00CA400C">
        <w:rPr>
          <w:sz w:val="16"/>
        </w:rPr>
        <w:t xml:space="preserve"> in Head and Neck Cancer.</w:t>
      </w:r>
      <w:proofErr w:type="gramEnd"/>
      <w:r w:rsidRPr="00CA400C">
        <w:rPr>
          <w:sz w:val="16"/>
        </w:rPr>
        <w:t xml:space="preserve"> </w:t>
      </w:r>
      <w:r w:rsidRPr="00CA400C">
        <w:rPr>
          <w:iCs/>
          <w:sz w:val="16"/>
        </w:rPr>
        <w:t xml:space="preserve">N </w:t>
      </w:r>
      <w:proofErr w:type="spellStart"/>
      <w:r w:rsidRPr="00CA400C">
        <w:rPr>
          <w:iCs/>
          <w:sz w:val="16"/>
        </w:rPr>
        <w:t>Engl</w:t>
      </w:r>
      <w:proofErr w:type="spellEnd"/>
      <w:r w:rsidRPr="00CA400C">
        <w:rPr>
          <w:iCs/>
          <w:sz w:val="16"/>
        </w:rPr>
        <w:t xml:space="preserve"> J Med</w:t>
      </w:r>
      <w:r w:rsidRPr="00CA400C">
        <w:rPr>
          <w:sz w:val="16"/>
        </w:rPr>
        <w:t xml:space="preserve"> 2008; 359(11): 1116–1127.</w:t>
      </w:r>
    </w:p>
    <w:p w14:paraId="5A43B9B1" w14:textId="77777777" w:rsidR="00382407" w:rsidRPr="00CA400C" w:rsidRDefault="00382407" w:rsidP="00530204">
      <w:pPr>
        <w:pStyle w:val="Heading2"/>
      </w:pPr>
      <w:r w:rsidRPr="00CA400C">
        <w:t>Estimate the number of times the proposed medical service</w:t>
      </w:r>
      <w:r w:rsidR="005A58BA" w:rsidRPr="00CA400C">
        <w:t>(s)</w:t>
      </w:r>
      <w:r w:rsidRPr="00CA400C">
        <w:t xml:space="preserve"> would be </w:t>
      </w:r>
      <w:r w:rsidR="00ED0C9F" w:rsidRPr="00CA400C">
        <w:t>delivered to a patient per year.</w:t>
      </w:r>
    </w:p>
    <w:p w14:paraId="73379643" w14:textId="2F8CCED4" w:rsidR="00382407" w:rsidRPr="00CA400C" w:rsidRDefault="00CC289A" w:rsidP="00AE1188">
      <w:pPr>
        <w:ind w:left="426"/>
      </w:pPr>
      <w:r w:rsidRPr="00CA400C">
        <w:t xml:space="preserve">The test would be conducted only once per patient, to establish eligibility for PBS access to </w:t>
      </w:r>
      <w:proofErr w:type="spellStart"/>
      <w:r w:rsidRPr="00CA400C">
        <w:t>durvalumab</w:t>
      </w:r>
      <w:proofErr w:type="spellEnd"/>
      <w:r w:rsidRPr="00CA400C">
        <w:t xml:space="preserve"> and </w:t>
      </w:r>
      <w:proofErr w:type="spellStart"/>
      <w:r w:rsidRPr="00CA400C">
        <w:t>tremelimumab</w:t>
      </w:r>
      <w:proofErr w:type="spellEnd"/>
      <w:r w:rsidRPr="00CA400C">
        <w:t xml:space="preserve"> for the treatment of recurrent or metastatic squamous cell cancer of the head and neck. Those who receive the test to determine eligibility for treatment in the first</w:t>
      </w:r>
      <w:r w:rsidRPr="00CA400C">
        <w:noBreakHyphen/>
        <w:t xml:space="preserve">line setting are not expected to </w:t>
      </w:r>
      <w:r w:rsidR="008962E1" w:rsidRPr="00CA400C">
        <w:t xml:space="preserve">be retreated with immunotherapy and therefore will not </w:t>
      </w:r>
      <w:r w:rsidRPr="00CA400C">
        <w:t>require a repeat test for determination of treatment in the second</w:t>
      </w:r>
      <w:r w:rsidRPr="00CA400C">
        <w:noBreakHyphen/>
        <w:t>line setting.</w:t>
      </w:r>
    </w:p>
    <w:p w14:paraId="368C75D0" w14:textId="77777777" w:rsidR="00382407" w:rsidRPr="00CA400C" w:rsidRDefault="00382407" w:rsidP="00530204">
      <w:pPr>
        <w:pStyle w:val="Heading2"/>
      </w:pPr>
      <w:r w:rsidRPr="00CA400C">
        <w:t>How many years would the proposed medical service</w:t>
      </w:r>
      <w:r w:rsidR="005A58BA" w:rsidRPr="00CA400C">
        <w:t>(s)</w:t>
      </w:r>
      <w:r w:rsidRPr="00CA400C">
        <w:t xml:space="preserve"> be required for the patient?</w:t>
      </w:r>
    </w:p>
    <w:p w14:paraId="45906E93" w14:textId="33DBCA27" w:rsidR="00382407" w:rsidRPr="00CA400C" w:rsidRDefault="00D31D82" w:rsidP="00AE1188">
      <w:pPr>
        <w:ind w:left="426"/>
        <w:rPr>
          <w:b/>
          <w:szCs w:val="20"/>
        </w:rPr>
      </w:pPr>
      <w:r w:rsidRPr="00CA400C">
        <w:t xml:space="preserve">The test would be given once only, to establish eligibility for PBS access to </w:t>
      </w:r>
      <w:proofErr w:type="spellStart"/>
      <w:r w:rsidRPr="00CA400C">
        <w:t>durvalumab</w:t>
      </w:r>
      <w:proofErr w:type="spellEnd"/>
      <w:r w:rsidRPr="00CA400C">
        <w:t xml:space="preserve"> and </w:t>
      </w:r>
      <w:proofErr w:type="spellStart"/>
      <w:r w:rsidRPr="00CA400C">
        <w:t>tremelimumab</w:t>
      </w:r>
      <w:proofErr w:type="spellEnd"/>
      <w:r w:rsidRPr="00CA400C">
        <w:t xml:space="preserve"> for the treatment of </w:t>
      </w:r>
      <w:r w:rsidR="007D686D" w:rsidRPr="00CA400C">
        <w:t xml:space="preserve">recurrent or metastatic </w:t>
      </w:r>
      <w:r w:rsidRPr="00CA400C">
        <w:t>squamous cell cancer of the head a</w:t>
      </w:r>
      <w:r w:rsidR="00625DEB" w:rsidRPr="00CA400C">
        <w:t>nd</w:t>
      </w:r>
      <w:r w:rsidRPr="00CA400C">
        <w:t xml:space="preserve"> neck.</w:t>
      </w:r>
      <w:r w:rsidR="006D1714" w:rsidRPr="00CA400C">
        <w:t xml:space="preserve"> There is no evidence indicating that repeated PD</w:t>
      </w:r>
      <w:r w:rsidR="00B25D32" w:rsidRPr="00CA400C">
        <w:noBreakHyphen/>
      </w:r>
      <w:r w:rsidR="006D1714" w:rsidRPr="00CA400C">
        <w:t>L1 testing has a role to play in ongoing management of these patients.</w:t>
      </w:r>
    </w:p>
    <w:p w14:paraId="50EED837" w14:textId="77777777" w:rsidR="002A6753" w:rsidRPr="00CA400C" w:rsidRDefault="000E47E7" w:rsidP="00530204">
      <w:pPr>
        <w:pStyle w:val="Heading2"/>
        <w:rPr>
          <w:b w:val="0"/>
        </w:rPr>
      </w:pPr>
      <w:r w:rsidRPr="00CA400C">
        <w:lastRenderedPageBreak/>
        <w:t xml:space="preserve">Estimate </w:t>
      </w:r>
      <w:r w:rsidR="002A6753" w:rsidRPr="00CA400C">
        <w:t xml:space="preserve">the projected number of patients who will utilise the proposed </w:t>
      </w:r>
      <w:r w:rsidRPr="00CA400C">
        <w:t xml:space="preserve">medical </w:t>
      </w:r>
      <w:r w:rsidR="002A6753" w:rsidRPr="00CA400C">
        <w:t>ser</w:t>
      </w:r>
      <w:r w:rsidR="00ED0C9F" w:rsidRPr="00CA400C">
        <w:t>vice(s) for the first full year.</w:t>
      </w:r>
    </w:p>
    <w:p w14:paraId="75E99583" w14:textId="7923C369" w:rsidR="00AE1188" w:rsidRPr="00CA400C" w:rsidRDefault="00CC289A" w:rsidP="00AE1188">
      <w:pPr>
        <w:ind w:left="426"/>
        <w:rPr>
          <w:szCs w:val="20"/>
        </w:rPr>
      </w:pPr>
      <w:r w:rsidRPr="00CA400C">
        <w:t>As outlined in Question 47, the projected number of SCCHN patients eligible for PD</w:t>
      </w:r>
      <w:r w:rsidRPr="00CA400C">
        <w:noBreakHyphen/>
        <w:t>L1 testing has been estimated at approximately 892 to determine eligibility for either first</w:t>
      </w:r>
      <w:r w:rsidRPr="00CA400C">
        <w:noBreakHyphen/>
        <w:t xml:space="preserve"> or second</w:t>
      </w:r>
      <w:r w:rsidRPr="00CA400C">
        <w:noBreakHyphen/>
        <w:t>line treatment. Because it is proposed that, with few exceptions, patients will only require one PD</w:t>
      </w:r>
      <w:r w:rsidRPr="00CA400C">
        <w:noBreakHyphen/>
        <w:t>L1 test, the projected number of patients who will use the proposed service (PD</w:t>
      </w:r>
      <w:r w:rsidRPr="00CA400C">
        <w:noBreakHyphen/>
        <w:t>L1 testing) in the first year would also be approximately 892 patients.</w:t>
      </w:r>
    </w:p>
    <w:p w14:paraId="1D19B322" w14:textId="77777777" w:rsidR="00974D50" w:rsidRPr="00CA400C" w:rsidRDefault="005A58BA" w:rsidP="00530204">
      <w:pPr>
        <w:pStyle w:val="Heading2"/>
        <w:rPr>
          <w:b w:val="0"/>
        </w:rPr>
      </w:pPr>
      <w:r w:rsidRPr="00CA400C">
        <w:t>Estimate the anticipated upt</w:t>
      </w:r>
      <w:r w:rsidR="000E47E7" w:rsidRPr="00CA400C">
        <w:t>a</w:t>
      </w:r>
      <w:r w:rsidR="001B171D" w:rsidRPr="00CA400C">
        <w:t>k</w:t>
      </w:r>
      <w:r w:rsidR="000E47E7" w:rsidRPr="00CA400C">
        <w:t>e of the proposed medical service over the next three years</w:t>
      </w:r>
      <w:r w:rsidR="001B171D" w:rsidRPr="00CA400C">
        <w:t xml:space="preserve"> factoring in any constraints in the health system in meeting the needs of the proposed population (suc</w:t>
      </w:r>
      <w:r w:rsidRPr="00CA400C">
        <w:t>h as supply and demand factors)</w:t>
      </w:r>
      <w:r w:rsidR="001B171D" w:rsidRPr="00CA400C">
        <w:t xml:space="preserve"> as well as </w:t>
      </w:r>
      <w:r w:rsidR="009C03FB" w:rsidRPr="00CA400C">
        <w:t>provide commentary on</w:t>
      </w:r>
      <w:r w:rsidR="001B171D" w:rsidRPr="00CA400C">
        <w:t xml:space="preserve"> risk of ‘leakage’ to populations not targeted by the service</w:t>
      </w:r>
      <w:r w:rsidR="00ED0C9F" w:rsidRPr="00CA400C">
        <w:t>.</w:t>
      </w:r>
    </w:p>
    <w:p w14:paraId="7DF9F298" w14:textId="3EB827E3" w:rsidR="00ED0C9F" w:rsidRPr="00CA400C" w:rsidRDefault="00D83247" w:rsidP="00AE1188">
      <w:pPr>
        <w:ind w:left="426"/>
      </w:pPr>
      <w:r w:rsidRPr="00CA400C">
        <w:t>It</w:t>
      </w:r>
      <w:r w:rsidR="006D1714" w:rsidRPr="00CA400C">
        <w:t xml:space="preserve"> is not expected </w:t>
      </w:r>
      <w:r w:rsidRPr="00CA400C">
        <w:t xml:space="preserve">that there will be </w:t>
      </w:r>
      <w:r w:rsidR="006D1714" w:rsidRPr="00CA400C">
        <w:t xml:space="preserve">significant constraints in supply and demand </w:t>
      </w:r>
      <w:r w:rsidRPr="00CA400C">
        <w:t xml:space="preserve">of PD-L1 testing </w:t>
      </w:r>
      <w:r w:rsidR="006D1714" w:rsidRPr="00CA400C">
        <w:t>over the first 3</w:t>
      </w:r>
      <w:r w:rsidR="00500465" w:rsidRPr="00CA400C">
        <w:t> </w:t>
      </w:r>
      <w:r w:rsidR="006D1714" w:rsidRPr="00CA400C">
        <w:t>years of listing. There are no anticipated constraints in the supply of commercial PD</w:t>
      </w:r>
      <w:r w:rsidR="00B25D32" w:rsidRPr="00CA400C">
        <w:noBreakHyphen/>
      </w:r>
      <w:r w:rsidR="008629D8" w:rsidRPr="00CA400C">
        <w:t>L1 testing kits for SCCHN</w:t>
      </w:r>
      <w:r w:rsidR="006D1714" w:rsidRPr="00CA400C">
        <w:t>. It is also anticipated in</w:t>
      </w:r>
      <w:r w:rsidR="00B25D32" w:rsidRPr="00CA400C">
        <w:noBreakHyphen/>
      </w:r>
      <w:r w:rsidR="006D1714" w:rsidRPr="00CA400C">
        <w:t>house PD</w:t>
      </w:r>
      <w:r w:rsidR="00B25D32" w:rsidRPr="00CA400C">
        <w:noBreakHyphen/>
      </w:r>
      <w:r w:rsidR="006D1714" w:rsidRPr="00CA400C">
        <w:t>L1 test</w:t>
      </w:r>
      <w:r w:rsidR="00867447" w:rsidRPr="00CA400C">
        <w:t xml:space="preserve"> methods </w:t>
      </w:r>
      <w:r w:rsidR="001F3D58" w:rsidRPr="00CA400C">
        <w:t>will be</w:t>
      </w:r>
      <w:r w:rsidR="00867447" w:rsidRPr="00CA400C">
        <w:t xml:space="preserve"> develop</w:t>
      </w:r>
      <w:r w:rsidR="001F3D58" w:rsidRPr="00CA400C">
        <w:t>ed</w:t>
      </w:r>
      <w:r w:rsidR="00867447" w:rsidRPr="00CA400C">
        <w:t xml:space="preserve"> over the one</w:t>
      </w:r>
      <w:r w:rsidR="00B25D32" w:rsidRPr="00CA400C">
        <w:noBreakHyphen/>
      </w:r>
      <w:r w:rsidR="0022274E" w:rsidRPr="00CA400C">
        <w:t xml:space="preserve"> to </w:t>
      </w:r>
      <w:r w:rsidR="00867447" w:rsidRPr="00CA400C">
        <w:t>three</w:t>
      </w:r>
      <w:r w:rsidR="00B25D32" w:rsidRPr="00CA400C">
        <w:noBreakHyphen/>
      </w:r>
      <w:r w:rsidR="006D1714" w:rsidRPr="00CA400C">
        <w:t>year timeframe, particular</w:t>
      </w:r>
      <w:r w:rsidR="00A00E32" w:rsidRPr="00CA400C">
        <w:t>ly</w:t>
      </w:r>
      <w:r w:rsidR="006D1714" w:rsidRPr="00CA400C">
        <w:t xml:space="preserve"> at major hospital pathology laboratories with research capabilities. Over this time</w:t>
      </w:r>
      <w:r w:rsidR="00ED0C9F" w:rsidRPr="00CA400C">
        <w:t>,</w:t>
      </w:r>
      <w:r w:rsidR="006D1714" w:rsidRPr="00CA400C">
        <w:t xml:space="preserve"> </w:t>
      </w:r>
      <w:r w:rsidRPr="00CA400C">
        <w:t xml:space="preserve">MBS listing of </w:t>
      </w:r>
      <w:r w:rsidR="006D1714" w:rsidRPr="00CA400C">
        <w:t>PD</w:t>
      </w:r>
      <w:r w:rsidR="00B25D32" w:rsidRPr="00CA400C">
        <w:noBreakHyphen/>
      </w:r>
      <w:r w:rsidR="006D1714" w:rsidRPr="00CA400C">
        <w:t xml:space="preserve">L1 testing may </w:t>
      </w:r>
      <w:r w:rsidR="00ED0C9F" w:rsidRPr="00CA400C">
        <w:t xml:space="preserve">be sought for other indications or </w:t>
      </w:r>
      <w:r w:rsidR="006D1714" w:rsidRPr="00CA400C">
        <w:t xml:space="preserve">tumour types to determine access to PBS treatments. </w:t>
      </w:r>
    </w:p>
    <w:p w14:paraId="78DCA9DA" w14:textId="6F470086" w:rsidR="001B171D" w:rsidRPr="00CA400C" w:rsidRDefault="00A00E32" w:rsidP="00AE1188">
      <w:pPr>
        <w:ind w:left="426"/>
        <w:rPr>
          <w:szCs w:val="20"/>
        </w:rPr>
      </w:pPr>
      <w:r w:rsidRPr="00CA400C">
        <w:t>T</w:t>
      </w:r>
      <w:r w:rsidR="006D1714" w:rsidRPr="00CA400C">
        <w:t>o reduce the risk of leakage to other populations</w:t>
      </w:r>
      <w:r w:rsidR="00867447" w:rsidRPr="00CA400C">
        <w:t>,</w:t>
      </w:r>
      <w:r w:rsidR="006D1714" w:rsidRPr="00CA400C">
        <w:t xml:space="preserve"> it is proposed that the MBS restriction should specify PD</w:t>
      </w:r>
      <w:r w:rsidR="00B25D32" w:rsidRPr="00CA400C">
        <w:noBreakHyphen/>
      </w:r>
      <w:r w:rsidR="006D1714" w:rsidRPr="00CA400C">
        <w:t>L1 testing of tumour tissue from patients with a</w:t>
      </w:r>
      <w:r w:rsidR="00BE7845" w:rsidRPr="00CA400C">
        <w:t xml:space="preserve"> </w:t>
      </w:r>
      <w:r w:rsidR="0066204C" w:rsidRPr="00CA400C">
        <w:t>diagnosis of</w:t>
      </w:r>
      <w:r w:rsidR="006D1714" w:rsidRPr="00CA400C">
        <w:t xml:space="preserve"> </w:t>
      </w:r>
      <w:r w:rsidR="00AF423C" w:rsidRPr="00CA400C">
        <w:t xml:space="preserve">unresectable </w:t>
      </w:r>
      <w:r w:rsidR="0066204C" w:rsidRPr="00CA400C">
        <w:t>recurrent o</w:t>
      </w:r>
      <w:r w:rsidR="00397530" w:rsidRPr="00CA400C">
        <w:t>r</w:t>
      </w:r>
      <w:r w:rsidR="0066204C" w:rsidRPr="00CA400C">
        <w:t xml:space="preserve"> metastatic </w:t>
      </w:r>
      <w:r w:rsidR="00ED0C9F" w:rsidRPr="00CA400C">
        <w:t xml:space="preserve">SCCHN. </w:t>
      </w:r>
    </w:p>
    <w:p w14:paraId="446CFB1E" w14:textId="77777777" w:rsidR="003433D1" w:rsidRPr="00CA400C" w:rsidRDefault="003433D1">
      <w:pPr>
        <w:rPr>
          <w:b/>
          <w:sz w:val="32"/>
          <w:szCs w:val="32"/>
        </w:rPr>
      </w:pPr>
      <w:r w:rsidRPr="00CA400C">
        <w:rPr>
          <w:b/>
          <w:sz w:val="32"/>
          <w:szCs w:val="32"/>
        </w:rPr>
        <w:br w:type="page"/>
      </w:r>
    </w:p>
    <w:p w14:paraId="23EA8F88" w14:textId="77777777" w:rsidR="00951933" w:rsidRPr="00CA400C" w:rsidRDefault="001B5169" w:rsidP="00AE1188">
      <w:pPr>
        <w:pStyle w:val="Heading1"/>
      </w:pPr>
      <w:r w:rsidRPr="00CA400C">
        <w:lastRenderedPageBreak/>
        <w:t>PART 8</w:t>
      </w:r>
      <w:r w:rsidR="00F93784" w:rsidRPr="00CA400C">
        <w:t xml:space="preserve"> – </w:t>
      </w:r>
      <w:r w:rsidR="005A58BA" w:rsidRPr="00CA400C">
        <w:t>COST</w:t>
      </w:r>
      <w:r w:rsidR="00951933" w:rsidRPr="00CA400C">
        <w:t xml:space="preserve"> INFORMATION</w:t>
      </w:r>
    </w:p>
    <w:p w14:paraId="789121E1" w14:textId="77777777" w:rsidR="006A649A" w:rsidRPr="00CA400C" w:rsidRDefault="006A649A" w:rsidP="001B5169">
      <w:pPr>
        <w:pStyle w:val="Heading2"/>
      </w:pPr>
      <w:r w:rsidRPr="00CA400C">
        <w:t>Indicate the likely</w:t>
      </w:r>
      <w:r w:rsidR="005A58BA" w:rsidRPr="00CA400C">
        <w:t xml:space="preserve"> </w:t>
      </w:r>
      <w:r w:rsidRPr="00CA400C">
        <w:t xml:space="preserve">cost of </w:t>
      </w:r>
      <w:r w:rsidR="005A58BA" w:rsidRPr="00CA400C">
        <w:t xml:space="preserve">providing the </w:t>
      </w:r>
      <w:r w:rsidRPr="00CA400C">
        <w:t>proposed medical service.</w:t>
      </w:r>
      <w:r w:rsidR="005A5D30" w:rsidRPr="00CA400C">
        <w:t xml:space="preserve"> Where possible</w:t>
      </w:r>
      <w:r w:rsidR="00802553" w:rsidRPr="00CA400C">
        <w:t>,</w:t>
      </w:r>
      <w:r w:rsidR="005A5D30" w:rsidRPr="00CA400C">
        <w:t xml:space="preserve"> please pro</w:t>
      </w:r>
      <w:r w:rsidR="00AE1188" w:rsidRPr="00CA400C">
        <w:t>vide overall cost and breakdown:</w:t>
      </w:r>
    </w:p>
    <w:p w14:paraId="72CDADE5" w14:textId="77777777" w:rsidR="00951933" w:rsidRPr="00CA400C" w:rsidRDefault="004C2992" w:rsidP="004C2992">
      <w:pPr>
        <w:ind w:left="426"/>
        <w:rPr>
          <w:szCs w:val="20"/>
        </w:rPr>
      </w:pPr>
      <w:r w:rsidRPr="00CA400C">
        <w:rPr>
          <w:szCs w:val="20"/>
        </w:rPr>
        <w:t xml:space="preserve">The final cost for the test </w:t>
      </w:r>
      <w:r w:rsidR="00ED0C9F" w:rsidRPr="00CA400C">
        <w:rPr>
          <w:szCs w:val="20"/>
        </w:rPr>
        <w:t xml:space="preserve">has yet to be </w:t>
      </w:r>
      <w:r w:rsidR="00591FFA" w:rsidRPr="00CA400C">
        <w:rPr>
          <w:szCs w:val="20"/>
        </w:rPr>
        <w:t>determined</w:t>
      </w:r>
      <w:r w:rsidRPr="00CA400C">
        <w:rPr>
          <w:szCs w:val="20"/>
        </w:rPr>
        <w:t xml:space="preserve">. </w:t>
      </w:r>
      <w:r w:rsidR="00C23B27" w:rsidRPr="00CA400C">
        <w:rPr>
          <w:szCs w:val="20"/>
        </w:rPr>
        <w:t>It is expected that the fee will be consistent with other, similar assays already covered on the MBS.</w:t>
      </w:r>
    </w:p>
    <w:p w14:paraId="57951F74" w14:textId="77777777" w:rsidR="00951933" w:rsidRPr="00CA400C" w:rsidRDefault="00951933" w:rsidP="00530204">
      <w:pPr>
        <w:pStyle w:val="Heading2"/>
      </w:pPr>
      <w:r w:rsidRPr="00CA400C">
        <w:t>Specify how long the proposed medical ser</w:t>
      </w:r>
      <w:r w:rsidR="00AE1188" w:rsidRPr="00CA400C">
        <w:t>vice typically takes to perform:</w:t>
      </w:r>
    </w:p>
    <w:p w14:paraId="0EE48953" w14:textId="746DF60F" w:rsidR="00951933" w:rsidRPr="00CA400C" w:rsidRDefault="00ED0C9F" w:rsidP="00AE1188">
      <w:pPr>
        <w:ind w:left="426"/>
        <w:rPr>
          <w:b/>
          <w:szCs w:val="20"/>
        </w:rPr>
      </w:pPr>
      <w:r w:rsidRPr="00CA400C">
        <w:rPr>
          <w:szCs w:val="20"/>
        </w:rPr>
        <w:t>IHC testing for PD</w:t>
      </w:r>
      <w:r w:rsidR="00B25D32" w:rsidRPr="00CA400C">
        <w:rPr>
          <w:szCs w:val="20"/>
        </w:rPr>
        <w:noBreakHyphen/>
      </w:r>
      <w:r w:rsidRPr="00CA400C">
        <w:rPr>
          <w:szCs w:val="20"/>
        </w:rPr>
        <w:t xml:space="preserve">L1 expression has been estimated to take between 2.5 </w:t>
      </w:r>
      <w:r w:rsidR="00D25F12" w:rsidRPr="00CA400C">
        <w:rPr>
          <w:szCs w:val="20"/>
        </w:rPr>
        <w:t>and</w:t>
      </w:r>
      <w:r w:rsidRPr="00CA400C">
        <w:rPr>
          <w:szCs w:val="20"/>
        </w:rPr>
        <w:t xml:space="preserve"> 4 hours to perform, depending on</w:t>
      </w:r>
      <w:r w:rsidR="00C944F1" w:rsidRPr="00CA400C">
        <w:rPr>
          <w:szCs w:val="20"/>
        </w:rPr>
        <w:t xml:space="preserve"> the</w:t>
      </w:r>
      <w:r w:rsidRPr="00CA400C">
        <w:rPr>
          <w:szCs w:val="20"/>
        </w:rPr>
        <w:t xml:space="preserve"> instrumentation </w:t>
      </w:r>
      <w:r w:rsidR="00C944F1" w:rsidRPr="00CA400C">
        <w:rPr>
          <w:szCs w:val="20"/>
        </w:rPr>
        <w:t xml:space="preserve">used </w:t>
      </w:r>
      <w:r w:rsidRPr="00CA400C">
        <w:rPr>
          <w:szCs w:val="20"/>
        </w:rPr>
        <w:t xml:space="preserve">and </w:t>
      </w:r>
      <w:r w:rsidR="00C944F1" w:rsidRPr="00CA400C">
        <w:rPr>
          <w:szCs w:val="20"/>
        </w:rPr>
        <w:t xml:space="preserve">the </w:t>
      </w:r>
      <w:r w:rsidRPr="00CA400C">
        <w:rPr>
          <w:szCs w:val="20"/>
        </w:rPr>
        <w:t xml:space="preserve">protocol being followed. </w:t>
      </w:r>
    </w:p>
    <w:p w14:paraId="7074E301" w14:textId="77777777" w:rsidR="00707D4D" w:rsidRPr="00CA400C" w:rsidRDefault="0054192F" w:rsidP="00530204">
      <w:pPr>
        <w:pStyle w:val="Heading2"/>
      </w:pPr>
      <w:r w:rsidRPr="00CA400C">
        <w:t>If public funding is sought through the MBS, please draft a proposed MBS item descriptor to define the population and medical service usage characteristics that would define eligibility for MBS funding.</w:t>
      </w:r>
    </w:p>
    <w:p w14:paraId="4F35A3DC" w14:textId="77777777" w:rsidR="00AE1188" w:rsidRPr="00CA400C"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sidRPr="00CA400C">
        <w:rPr>
          <w:szCs w:val="20"/>
        </w:rPr>
        <w:t xml:space="preserve">Category </w:t>
      </w:r>
      <w:r w:rsidR="00ED0C9F" w:rsidRPr="00CA400C">
        <w:t>6</w:t>
      </w:r>
      <w:r w:rsidRPr="00CA400C">
        <w:rPr>
          <w:szCs w:val="20"/>
        </w:rPr>
        <w:t xml:space="preserve"> – </w:t>
      </w:r>
      <w:r w:rsidR="00ED0C9F" w:rsidRPr="00CA400C">
        <w:t>Pathology services</w:t>
      </w:r>
      <w:r w:rsidRPr="00CA400C">
        <w:rPr>
          <w:szCs w:val="20"/>
        </w:rPr>
        <w:t xml:space="preserve"> </w:t>
      </w:r>
    </w:p>
    <w:p w14:paraId="57DC0A8F" w14:textId="77777777" w:rsidR="00AE1188" w:rsidRPr="00CA400C" w:rsidRDefault="00ED0C9F" w:rsidP="00AE1188">
      <w:pPr>
        <w:pBdr>
          <w:top w:val="single" w:sz="4" w:space="1" w:color="auto"/>
          <w:left w:val="single" w:sz="4" w:space="4" w:color="auto"/>
          <w:bottom w:val="single" w:sz="4" w:space="1" w:color="auto"/>
          <w:right w:val="single" w:sz="4" w:space="4" w:color="auto"/>
        </w:pBdr>
        <w:rPr>
          <w:szCs w:val="20"/>
        </w:rPr>
      </w:pPr>
      <w:r w:rsidRPr="00CA400C">
        <w:rPr>
          <w:szCs w:val="20"/>
        </w:rPr>
        <w:t>MBS item number</w:t>
      </w:r>
    </w:p>
    <w:p w14:paraId="2F8DEF69" w14:textId="77777777" w:rsidR="00AE1188" w:rsidRPr="00CA400C" w:rsidRDefault="00AE1188" w:rsidP="00AE1188">
      <w:pPr>
        <w:pBdr>
          <w:top w:val="single" w:sz="4" w:space="1" w:color="auto"/>
          <w:left w:val="single" w:sz="4" w:space="4" w:color="auto"/>
          <w:bottom w:val="single" w:sz="4" w:space="1" w:color="auto"/>
          <w:right w:val="single" w:sz="4" w:space="4" w:color="auto"/>
        </w:pBdr>
      </w:pPr>
      <w:r w:rsidRPr="00CA400C">
        <w:rPr>
          <w:szCs w:val="20"/>
        </w:rPr>
        <w:t xml:space="preserve">Proposed item descriptor: </w:t>
      </w:r>
    </w:p>
    <w:p w14:paraId="5FE91CAF" w14:textId="68F5C5B1" w:rsidR="001F3D58" w:rsidRPr="00CA400C" w:rsidRDefault="001F3D58" w:rsidP="001F3D58">
      <w:pPr>
        <w:pBdr>
          <w:top w:val="single" w:sz="4" w:space="1" w:color="auto"/>
          <w:left w:val="single" w:sz="4" w:space="4" w:color="auto"/>
          <w:bottom w:val="single" w:sz="4" w:space="1" w:color="auto"/>
          <w:right w:val="single" w:sz="4" w:space="4" w:color="auto"/>
        </w:pBdr>
        <w:rPr>
          <w:szCs w:val="20"/>
        </w:rPr>
      </w:pPr>
      <w:proofErr w:type="spellStart"/>
      <w:r w:rsidRPr="00CA400C">
        <w:rPr>
          <w:szCs w:val="20"/>
        </w:rPr>
        <w:t>Immunohistochemical</w:t>
      </w:r>
      <w:proofErr w:type="spellEnd"/>
      <w:r w:rsidRPr="00CA400C">
        <w:rPr>
          <w:szCs w:val="20"/>
        </w:rPr>
        <w:t xml:space="preserve"> examination of a new tissue sample from a patient diagnosed with recurrent or metastatic squamous cell carcinoma of the head and neck (SCCHN) to determine whether the requirements relating to PD</w:t>
      </w:r>
      <w:r w:rsidRPr="00CA400C">
        <w:rPr>
          <w:szCs w:val="20"/>
        </w:rPr>
        <w:noBreakHyphen/>
        <w:t xml:space="preserve">L1 expression for access to </w:t>
      </w:r>
      <w:proofErr w:type="spellStart"/>
      <w:r w:rsidRPr="00CA400C">
        <w:rPr>
          <w:szCs w:val="20"/>
        </w:rPr>
        <w:t>durvalumab</w:t>
      </w:r>
      <w:proofErr w:type="spellEnd"/>
      <w:r w:rsidRPr="00CA400C">
        <w:rPr>
          <w:szCs w:val="20"/>
        </w:rPr>
        <w:t xml:space="preserve"> monotherapy or </w:t>
      </w:r>
      <w:proofErr w:type="spellStart"/>
      <w:r w:rsidRPr="00CA400C">
        <w:rPr>
          <w:szCs w:val="20"/>
        </w:rPr>
        <w:t>durvalumab</w:t>
      </w:r>
      <w:proofErr w:type="spellEnd"/>
      <w:r w:rsidRPr="00CA400C">
        <w:rPr>
          <w:szCs w:val="20"/>
        </w:rPr>
        <w:t>/</w:t>
      </w:r>
      <w:proofErr w:type="spellStart"/>
      <w:r w:rsidRPr="00CA400C">
        <w:rPr>
          <w:szCs w:val="20"/>
        </w:rPr>
        <w:t>tremelimumab</w:t>
      </w:r>
      <w:proofErr w:type="spellEnd"/>
      <w:r w:rsidRPr="00CA400C">
        <w:rPr>
          <w:szCs w:val="20"/>
        </w:rPr>
        <w:t xml:space="preserve"> combination therapy under the Pharmaceutical Benefits Scheme (PBS) are fulfilled.</w:t>
      </w:r>
    </w:p>
    <w:p w14:paraId="20324447" w14:textId="77777777" w:rsidR="00AE1188" w:rsidRPr="00CA400C" w:rsidRDefault="00ED0C9F" w:rsidP="00AE1188">
      <w:pPr>
        <w:pBdr>
          <w:top w:val="single" w:sz="4" w:space="1" w:color="auto"/>
          <w:left w:val="single" w:sz="4" w:space="4" w:color="auto"/>
          <w:bottom w:val="single" w:sz="4" w:space="1" w:color="auto"/>
          <w:right w:val="single" w:sz="4" w:space="4" w:color="auto"/>
        </w:pBdr>
      </w:pPr>
      <w:r w:rsidRPr="00CA400C">
        <w:rPr>
          <w:szCs w:val="20"/>
        </w:rPr>
        <w:t xml:space="preserve">Fee:  </w:t>
      </w:r>
      <w:r w:rsidR="00C23B27" w:rsidRPr="00CA400C">
        <w:t>To be determined</w:t>
      </w:r>
    </w:p>
    <w:p w14:paraId="43721BC1" w14:textId="77777777" w:rsidR="00ED0C9F" w:rsidRPr="00CA400C" w:rsidRDefault="00ED0C9F" w:rsidP="00AE1188">
      <w:pPr>
        <w:pBdr>
          <w:top w:val="single" w:sz="4" w:space="1" w:color="auto"/>
          <w:left w:val="single" w:sz="4" w:space="4" w:color="auto"/>
          <w:bottom w:val="single" w:sz="4" w:space="1" w:color="auto"/>
          <w:right w:val="single" w:sz="4" w:space="4" w:color="auto"/>
        </w:pBdr>
        <w:rPr>
          <w:szCs w:val="20"/>
        </w:rPr>
      </w:pPr>
      <w:r w:rsidRPr="00CA400C">
        <w:t>Benefit: To be determined</w:t>
      </w:r>
    </w:p>
    <w:p w14:paraId="0B9F8B4A" w14:textId="77777777" w:rsidR="00AE1188" w:rsidRPr="00CA400C" w:rsidRDefault="00AE1188" w:rsidP="004A0BF4">
      <w:pPr>
        <w:pStyle w:val="Heading2"/>
        <w:numPr>
          <w:ilvl w:val="0"/>
          <w:numId w:val="0"/>
        </w:numPr>
        <w:ind w:left="360"/>
      </w:pPr>
      <w:r w:rsidRPr="00CA400C">
        <w:br w:type="page"/>
      </w:r>
    </w:p>
    <w:p w14:paraId="02AF5700" w14:textId="77777777" w:rsidR="00E058F2" w:rsidRPr="00CA400C" w:rsidRDefault="001B5169" w:rsidP="00AE1188">
      <w:pPr>
        <w:pStyle w:val="Heading1"/>
      </w:pPr>
      <w:r w:rsidRPr="00CA400C">
        <w:lastRenderedPageBreak/>
        <w:t>PART 9</w:t>
      </w:r>
      <w:r w:rsidR="00F93784" w:rsidRPr="00CA400C">
        <w:t xml:space="preserve"> – </w:t>
      </w:r>
      <w:r w:rsidR="00E058F2" w:rsidRPr="00CA400C">
        <w:t>FEEDBACK</w:t>
      </w:r>
    </w:p>
    <w:p w14:paraId="1BA9488F" w14:textId="77777777" w:rsidR="00E058F2" w:rsidRPr="00CA400C" w:rsidRDefault="00E058F2" w:rsidP="00E058F2">
      <w:pPr>
        <w:rPr>
          <w:szCs w:val="20"/>
        </w:rPr>
      </w:pPr>
      <w:r w:rsidRPr="00CA400C">
        <w:rPr>
          <w:szCs w:val="20"/>
        </w:rPr>
        <w:t>The Department</w:t>
      </w:r>
      <w:r w:rsidR="005A58BA" w:rsidRPr="00CA400C">
        <w:rPr>
          <w:szCs w:val="20"/>
        </w:rPr>
        <w:t xml:space="preserve"> is interested in your feedback.</w:t>
      </w:r>
    </w:p>
    <w:p w14:paraId="48515A36" w14:textId="77777777" w:rsidR="00E058F2" w:rsidRPr="00CA400C" w:rsidRDefault="00E058F2" w:rsidP="001B5169">
      <w:pPr>
        <w:pStyle w:val="Heading2"/>
      </w:pPr>
      <w:r w:rsidRPr="00CA400C">
        <w:t>How long did it take to complete the Application Form?</w:t>
      </w:r>
    </w:p>
    <w:p w14:paraId="73FEA64D" w14:textId="79D31A48" w:rsidR="00E058F2" w:rsidRPr="00CA400C" w:rsidRDefault="00E058F2" w:rsidP="00603D04">
      <w:pPr>
        <w:ind w:left="426"/>
        <w:rPr>
          <w:szCs w:val="20"/>
        </w:rPr>
      </w:pPr>
    </w:p>
    <w:p w14:paraId="0B3ECC44" w14:textId="77777777" w:rsidR="001845D9" w:rsidRPr="00CA400C" w:rsidRDefault="001B5169" w:rsidP="00530204">
      <w:pPr>
        <w:pStyle w:val="Heading2"/>
      </w:pPr>
      <w:r w:rsidRPr="00CA400C">
        <w:t xml:space="preserve">(a) </w:t>
      </w:r>
      <w:r w:rsidR="001845D9" w:rsidRPr="00CA400C">
        <w:t xml:space="preserve">Was the Application Form </w:t>
      </w:r>
      <w:r w:rsidR="0081650F" w:rsidRPr="00CA400C">
        <w:t>clear and easy to complete?</w:t>
      </w:r>
    </w:p>
    <w:p w14:paraId="032EFC96" w14:textId="5A76BAC2" w:rsidR="00603D04" w:rsidRPr="00CA400C" w:rsidRDefault="00010B47" w:rsidP="00603D04">
      <w:pPr>
        <w:spacing w:before="0" w:after="0"/>
        <w:ind w:left="426"/>
        <w:rPr>
          <w:szCs w:val="20"/>
        </w:rPr>
      </w:pPr>
      <w:r w:rsidRPr="00CA400C">
        <w:rPr>
          <w:szCs w:val="20"/>
        </w:rPr>
        <w:fldChar w:fldCharType="begin">
          <w:ffData>
            <w:name w:val=""/>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00603D04" w:rsidRPr="00CA400C">
        <w:rPr>
          <w:szCs w:val="20"/>
        </w:rPr>
        <w:t xml:space="preserve"> Yes</w:t>
      </w:r>
      <w:r w:rsidR="00603D04" w:rsidRPr="00CA400C">
        <w:rPr>
          <w:szCs w:val="20"/>
        </w:rPr>
        <w:tab/>
      </w:r>
    </w:p>
    <w:p w14:paraId="3C9CBC97" w14:textId="77777777" w:rsidR="00603D04" w:rsidRPr="00CA400C" w:rsidRDefault="00603D04" w:rsidP="00603D04">
      <w:pPr>
        <w:spacing w:before="0" w:after="0"/>
        <w:ind w:left="426"/>
        <w:rPr>
          <w:szCs w:val="20"/>
        </w:rPr>
      </w:pPr>
      <w:r w:rsidRPr="00CA400C">
        <w:rPr>
          <w:szCs w:val="20"/>
        </w:rPr>
        <w:fldChar w:fldCharType="begin">
          <w:ffData>
            <w:name w:val="Check1"/>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Pr="00CA400C">
        <w:rPr>
          <w:szCs w:val="20"/>
        </w:rPr>
        <w:t xml:space="preserve"> No</w:t>
      </w:r>
    </w:p>
    <w:p w14:paraId="63FBCC3D" w14:textId="77777777" w:rsidR="003D6DE1" w:rsidRPr="00CA400C" w:rsidRDefault="00603D04" w:rsidP="001B5169">
      <w:pPr>
        <w:pStyle w:val="Heading2"/>
        <w:numPr>
          <w:ilvl w:val="0"/>
          <w:numId w:val="31"/>
        </w:numPr>
      </w:pPr>
      <w:r w:rsidRPr="00CA400C">
        <w:t>If no, provide areas of concern:</w:t>
      </w:r>
    </w:p>
    <w:p w14:paraId="4DD739C5" w14:textId="0909462F" w:rsidR="003D6DE1" w:rsidRPr="00CA400C" w:rsidRDefault="003D6DE1" w:rsidP="00603D04">
      <w:pPr>
        <w:ind w:left="426"/>
        <w:rPr>
          <w:szCs w:val="20"/>
        </w:rPr>
      </w:pPr>
    </w:p>
    <w:p w14:paraId="54D00CD6" w14:textId="77777777" w:rsidR="00E058F2" w:rsidRPr="00CA400C" w:rsidRDefault="001B5169" w:rsidP="00530204">
      <w:pPr>
        <w:pStyle w:val="Heading2"/>
      </w:pPr>
      <w:r w:rsidRPr="00CA400C">
        <w:t xml:space="preserve">(a) </w:t>
      </w:r>
      <w:r w:rsidR="00E058F2" w:rsidRPr="00CA400C">
        <w:t>Are the associated Guidelines to the Application Form useful?</w:t>
      </w:r>
    </w:p>
    <w:p w14:paraId="4C895884" w14:textId="2DDB4328" w:rsidR="00603D04" w:rsidRPr="00CA400C" w:rsidRDefault="00010B47" w:rsidP="00603D04">
      <w:pPr>
        <w:spacing w:before="0" w:after="0"/>
        <w:ind w:left="426"/>
        <w:rPr>
          <w:szCs w:val="20"/>
        </w:rPr>
      </w:pPr>
      <w:r w:rsidRPr="00CA400C">
        <w:rPr>
          <w:szCs w:val="20"/>
        </w:rPr>
        <w:fldChar w:fldCharType="begin">
          <w:ffData>
            <w:name w:val=""/>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00603D04" w:rsidRPr="00CA400C">
        <w:rPr>
          <w:szCs w:val="20"/>
        </w:rPr>
        <w:t xml:space="preserve"> Yes</w:t>
      </w:r>
      <w:r w:rsidR="00603D04" w:rsidRPr="00CA400C">
        <w:rPr>
          <w:szCs w:val="20"/>
        </w:rPr>
        <w:tab/>
      </w:r>
    </w:p>
    <w:p w14:paraId="4C159393" w14:textId="77777777" w:rsidR="00603D04" w:rsidRPr="00CA400C" w:rsidRDefault="00603D04" w:rsidP="00603D04">
      <w:pPr>
        <w:spacing w:before="0" w:after="0"/>
        <w:ind w:left="426"/>
        <w:rPr>
          <w:szCs w:val="20"/>
        </w:rPr>
      </w:pPr>
      <w:r w:rsidRPr="00CA400C">
        <w:rPr>
          <w:szCs w:val="20"/>
        </w:rPr>
        <w:fldChar w:fldCharType="begin">
          <w:ffData>
            <w:name w:val="Check1"/>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Pr="00CA400C">
        <w:rPr>
          <w:szCs w:val="20"/>
        </w:rPr>
        <w:t xml:space="preserve"> No</w:t>
      </w:r>
    </w:p>
    <w:p w14:paraId="72CB3D26" w14:textId="77777777" w:rsidR="003D6DE1" w:rsidRPr="00CA400C" w:rsidRDefault="003D6DE1" w:rsidP="001B5169">
      <w:pPr>
        <w:pStyle w:val="Heading2"/>
        <w:numPr>
          <w:ilvl w:val="0"/>
          <w:numId w:val="32"/>
        </w:numPr>
      </w:pPr>
      <w:r w:rsidRPr="00CA400C">
        <w:t>If no, what areas did you find not to be useful?</w:t>
      </w:r>
    </w:p>
    <w:p w14:paraId="79F5D755" w14:textId="77777777" w:rsidR="003D6DE1" w:rsidRPr="00CA400C" w:rsidRDefault="003D6DE1" w:rsidP="00603D04">
      <w:pPr>
        <w:ind w:left="426"/>
        <w:rPr>
          <w:szCs w:val="20"/>
        </w:rPr>
      </w:pPr>
    </w:p>
    <w:p w14:paraId="6752D3E2" w14:textId="77777777" w:rsidR="00E058F2" w:rsidRPr="00CA400C" w:rsidRDefault="001B5169" w:rsidP="00530204">
      <w:pPr>
        <w:pStyle w:val="Heading2"/>
      </w:pPr>
      <w:r w:rsidRPr="00CA400C">
        <w:t xml:space="preserve">(a) </w:t>
      </w:r>
      <w:r w:rsidR="00E058F2" w:rsidRPr="00CA400C">
        <w:t>Is there any information that the Department should consider in the future</w:t>
      </w:r>
      <w:r w:rsidR="00CF2DFA" w:rsidRPr="00CA400C">
        <w:t xml:space="preserve"> relating to the questions within the Application Form</w:t>
      </w:r>
      <w:r w:rsidR="00E058F2" w:rsidRPr="00CA400C">
        <w:t xml:space="preserve"> that is not contained in the Application Form?</w:t>
      </w:r>
    </w:p>
    <w:p w14:paraId="6F97769E" w14:textId="3F8EDB00" w:rsidR="00603D04" w:rsidRPr="00CA400C" w:rsidRDefault="00010B47" w:rsidP="00603D04">
      <w:pPr>
        <w:spacing w:before="0" w:after="0"/>
        <w:ind w:left="426"/>
        <w:rPr>
          <w:szCs w:val="20"/>
        </w:rPr>
      </w:pPr>
      <w:r w:rsidRPr="00CA400C">
        <w:rPr>
          <w:szCs w:val="20"/>
        </w:rPr>
        <w:fldChar w:fldCharType="begin">
          <w:ffData>
            <w:name w:val=""/>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00603D04" w:rsidRPr="00CA400C">
        <w:rPr>
          <w:szCs w:val="20"/>
        </w:rPr>
        <w:t xml:space="preserve"> Yes</w:t>
      </w:r>
      <w:r w:rsidR="00603D04" w:rsidRPr="00CA400C">
        <w:rPr>
          <w:szCs w:val="20"/>
        </w:rPr>
        <w:tab/>
      </w:r>
    </w:p>
    <w:p w14:paraId="20AE6C5C" w14:textId="77777777" w:rsidR="00603D04" w:rsidRPr="00CA400C" w:rsidRDefault="00603D04" w:rsidP="00603D04">
      <w:pPr>
        <w:spacing w:before="0" w:after="0"/>
        <w:ind w:left="426"/>
        <w:rPr>
          <w:szCs w:val="20"/>
        </w:rPr>
      </w:pPr>
      <w:r w:rsidRPr="00CA400C">
        <w:rPr>
          <w:szCs w:val="20"/>
        </w:rPr>
        <w:fldChar w:fldCharType="begin">
          <w:ffData>
            <w:name w:val="Check1"/>
            <w:enabled/>
            <w:calcOnExit w:val="0"/>
            <w:checkBox>
              <w:sizeAuto/>
              <w:default w:val="0"/>
            </w:checkBox>
          </w:ffData>
        </w:fldChar>
      </w:r>
      <w:r w:rsidRPr="00CA400C">
        <w:rPr>
          <w:szCs w:val="20"/>
        </w:rPr>
        <w:instrText xml:space="preserve"> FORMCHECKBOX </w:instrText>
      </w:r>
      <w:r w:rsidR="00236EB6">
        <w:rPr>
          <w:szCs w:val="20"/>
        </w:rPr>
      </w:r>
      <w:r w:rsidR="00236EB6">
        <w:rPr>
          <w:szCs w:val="20"/>
        </w:rPr>
        <w:fldChar w:fldCharType="separate"/>
      </w:r>
      <w:r w:rsidRPr="00CA400C">
        <w:rPr>
          <w:szCs w:val="20"/>
        </w:rPr>
        <w:fldChar w:fldCharType="end"/>
      </w:r>
      <w:r w:rsidRPr="00CA400C">
        <w:rPr>
          <w:szCs w:val="20"/>
        </w:rPr>
        <w:t xml:space="preserve"> No</w:t>
      </w:r>
    </w:p>
    <w:p w14:paraId="5E7FBAB2" w14:textId="77777777" w:rsidR="001845D9" w:rsidRPr="00CA400C" w:rsidRDefault="001845D9" w:rsidP="001B5169">
      <w:pPr>
        <w:pStyle w:val="Heading2"/>
        <w:numPr>
          <w:ilvl w:val="0"/>
          <w:numId w:val="33"/>
        </w:numPr>
      </w:pPr>
      <w:r w:rsidRPr="00CA400C">
        <w:t xml:space="preserve">If yes, please </w:t>
      </w:r>
      <w:proofErr w:type="gramStart"/>
      <w:r w:rsidRPr="00CA400C">
        <w:t>advise</w:t>
      </w:r>
      <w:proofErr w:type="gramEnd"/>
      <w:r w:rsidRPr="00CA400C">
        <w:t>:</w:t>
      </w:r>
    </w:p>
    <w:p w14:paraId="1BD274D7" w14:textId="68F5EEAE" w:rsidR="001E456B" w:rsidRDefault="001E456B" w:rsidP="00603D04">
      <w:pPr>
        <w:ind w:left="426"/>
        <w:rPr>
          <w:szCs w:val="20"/>
        </w:rPr>
      </w:pPr>
      <w:r>
        <w:t xml:space="preserve"> </w:t>
      </w:r>
    </w:p>
    <w:sectPr w:rsidR="001E456B"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EE6FB" w14:textId="77777777" w:rsidR="007C5108" w:rsidRDefault="007C5108" w:rsidP="00CF2DFA">
      <w:pPr>
        <w:spacing w:after="0"/>
      </w:pPr>
      <w:r>
        <w:separator/>
      </w:r>
    </w:p>
  </w:endnote>
  <w:endnote w:type="continuationSeparator" w:id="0">
    <w:p w14:paraId="6DA653F9" w14:textId="77777777" w:rsidR="007C5108" w:rsidRDefault="007C5108"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oto Sans">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364BE21D" w14:textId="23E6771C" w:rsidR="006F77FF" w:rsidRDefault="006F77FF">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236EB6" w:rsidRPr="00236EB6">
          <w:rPr>
            <w:b/>
            <w:bCs/>
            <w:noProof/>
            <w:sz w:val="18"/>
            <w:szCs w:val="18"/>
          </w:rPr>
          <w:t>27</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182E5285" w14:textId="77777777" w:rsidR="006F77FF" w:rsidRPr="003F7CB9" w:rsidRDefault="006F77FF"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8A2A6" w14:textId="77777777" w:rsidR="007C5108" w:rsidRDefault="007C5108" w:rsidP="00CF2DFA">
      <w:pPr>
        <w:spacing w:after="0"/>
      </w:pPr>
      <w:r>
        <w:separator/>
      </w:r>
    </w:p>
  </w:footnote>
  <w:footnote w:type="continuationSeparator" w:id="0">
    <w:p w14:paraId="29489BA2" w14:textId="77777777" w:rsidR="007C5108" w:rsidRDefault="007C5108" w:rsidP="00CF2DF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7CF4520"/>
    <w:multiLevelType w:val="hybridMultilevel"/>
    <w:tmpl w:val="BC42E584"/>
    <w:lvl w:ilvl="0" w:tplc="8444C4F6">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8">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8"/>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
  </w:num>
  <w:num w:numId="25">
    <w:abstractNumId w:val="16"/>
  </w:num>
  <w:num w:numId="26">
    <w:abstractNumId w:val="3"/>
  </w:num>
  <w:num w:numId="27">
    <w:abstractNumId w:val="13"/>
  </w:num>
  <w:num w:numId="28">
    <w:abstractNumId w:val="9"/>
  </w:num>
  <w:num w:numId="29">
    <w:abstractNumId w:val="18"/>
  </w:num>
  <w:num w:numId="30">
    <w:abstractNumId w:val="2"/>
  </w:num>
  <w:num w:numId="31">
    <w:abstractNumId w:val="15"/>
  </w:num>
  <w:num w:numId="32">
    <w:abstractNumId w:val="6"/>
  </w:num>
  <w:num w:numId="33">
    <w:abstractNumId w:val="14"/>
  </w:num>
  <w:num w:numId="34">
    <w:abstractNumId w:val="5"/>
  </w:num>
  <w:num w:numId="35">
    <w:abstractNumId w:val="10"/>
  </w:num>
  <w:num w:numId="36">
    <w:abstractNumId w:val="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02EE6"/>
    <w:rsid w:val="00010B47"/>
    <w:rsid w:val="000110DC"/>
    <w:rsid w:val="00015373"/>
    <w:rsid w:val="000158AA"/>
    <w:rsid w:val="000159B9"/>
    <w:rsid w:val="00016275"/>
    <w:rsid w:val="000167BE"/>
    <w:rsid w:val="00016B6E"/>
    <w:rsid w:val="0002328A"/>
    <w:rsid w:val="00023E21"/>
    <w:rsid w:val="00025ABC"/>
    <w:rsid w:val="00026412"/>
    <w:rsid w:val="00031F6F"/>
    <w:rsid w:val="000333C7"/>
    <w:rsid w:val="00034D6E"/>
    <w:rsid w:val="0004471A"/>
    <w:rsid w:val="000447E2"/>
    <w:rsid w:val="00045BA4"/>
    <w:rsid w:val="0005089D"/>
    <w:rsid w:val="00051612"/>
    <w:rsid w:val="000525BC"/>
    <w:rsid w:val="000548CD"/>
    <w:rsid w:val="0005762E"/>
    <w:rsid w:val="00063CFD"/>
    <w:rsid w:val="00073222"/>
    <w:rsid w:val="000752AE"/>
    <w:rsid w:val="000770BA"/>
    <w:rsid w:val="000774A9"/>
    <w:rsid w:val="000823FF"/>
    <w:rsid w:val="00082BD5"/>
    <w:rsid w:val="0008536B"/>
    <w:rsid w:val="00085AA9"/>
    <w:rsid w:val="00091C1C"/>
    <w:rsid w:val="00092580"/>
    <w:rsid w:val="000955E7"/>
    <w:rsid w:val="00095C32"/>
    <w:rsid w:val="000A110D"/>
    <w:rsid w:val="000A478F"/>
    <w:rsid w:val="000A5B32"/>
    <w:rsid w:val="000A6A4E"/>
    <w:rsid w:val="000B3CD0"/>
    <w:rsid w:val="000B50B0"/>
    <w:rsid w:val="000B5AA1"/>
    <w:rsid w:val="000C48CF"/>
    <w:rsid w:val="000D066E"/>
    <w:rsid w:val="000D0831"/>
    <w:rsid w:val="000D19F2"/>
    <w:rsid w:val="000D4478"/>
    <w:rsid w:val="000E47E7"/>
    <w:rsid w:val="000E5439"/>
    <w:rsid w:val="000E639A"/>
    <w:rsid w:val="00102686"/>
    <w:rsid w:val="00103328"/>
    <w:rsid w:val="00103736"/>
    <w:rsid w:val="00105CC6"/>
    <w:rsid w:val="0011036E"/>
    <w:rsid w:val="001130B0"/>
    <w:rsid w:val="0011369B"/>
    <w:rsid w:val="00116EB1"/>
    <w:rsid w:val="0011742E"/>
    <w:rsid w:val="001175D4"/>
    <w:rsid w:val="00117E40"/>
    <w:rsid w:val="00123D10"/>
    <w:rsid w:val="00123F44"/>
    <w:rsid w:val="0012410A"/>
    <w:rsid w:val="00124B00"/>
    <w:rsid w:val="00126B33"/>
    <w:rsid w:val="001273CC"/>
    <w:rsid w:val="001333E8"/>
    <w:rsid w:val="0013384D"/>
    <w:rsid w:val="00133B7D"/>
    <w:rsid w:val="00134EA3"/>
    <w:rsid w:val="00135CF3"/>
    <w:rsid w:val="00135F3C"/>
    <w:rsid w:val="001362C7"/>
    <w:rsid w:val="0014247B"/>
    <w:rsid w:val="0015053C"/>
    <w:rsid w:val="001507D0"/>
    <w:rsid w:val="00154B00"/>
    <w:rsid w:val="001572E8"/>
    <w:rsid w:val="00163BB6"/>
    <w:rsid w:val="001644E9"/>
    <w:rsid w:val="0016672E"/>
    <w:rsid w:val="001715E2"/>
    <w:rsid w:val="00171874"/>
    <w:rsid w:val="00172257"/>
    <w:rsid w:val="00173AE4"/>
    <w:rsid w:val="001742E3"/>
    <w:rsid w:val="001759DF"/>
    <w:rsid w:val="00176C61"/>
    <w:rsid w:val="001777A2"/>
    <w:rsid w:val="001845D9"/>
    <w:rsid w:val="0018630F"/>
    <w:rsid w:val="001906CD"/>
    <w:rsid w:val="00190FE5"/>
    <w:rsid w:val="00191B99"/>
    <w:rsid w:val="0019484C"/>
    <w:rsid w:val="001971CC"/>
    <w:rsid w:val="00197D29"/>
    <w:rsid w:val="001A02E3"/>
    <w:rsid w:val="001A15E9"/>
    <w:rsid w:val="001A1ADF"/>
    <w:rsid w:val="001A2032"/>
    <w:rsid w:val="001A365C"/>
    <w:rsid w:val="001A50E1"/>
    <w:rsid w:val="001A5AB1"/>
    <w:rsid w:val="001A633A"/>
    <w:rsid w:val="001A7146"/>
    <w:rsid w:val="001B171D"/>
    <w:rsid w:val="001B29A1"/>
    <w:rsid w:val="001B5169"/>
    <w:rsid w:val="001B6164"/>
    <w:rsid w:val="001C7186"/>
    <w:rsid w:val="001C71C6"/>
    <w:rsid w:val="001C7866"/>
    <w:rsid w:val="001D02AC"/>
    <w:rsid w:val="001D221A"/>
    <w:rsid w:val="001D3D7D"/>
    <w:rsid w:val="001D4CE0"/>
    <w:rsid w:val="001D77ED"/>
    <w:rsid w:val="001E1180"/>
    <w:rsid w:val="001E2215"/>
    <w:rsid w:val="001E23EA"/>
    <w:rsid w:val="001E2CF1"/>
    <w:rsid w:val="001E40C3"/>
    <w:rsid w:val="001E456B"/>
    <w:rsid w:val="001E6919"/>
    <w:rsid w:val="001E6958"/>
    <w:rsid w:val="001F3D58"/>
    <w:rsid w:val="001F4D85"/>
    <w:rsid w:val="00201924"/>
    <w:rsid w:val="002019F1"/>
    <w:rsid w:val="002023A8"/>
    <w:rsid w:val="00202473"/>
    <w:rsid w:val="002053F2"/>
    <w:rsid w:val="00206D63"/>
    <w:rsid w:val="0021185D"/>
    <w:rsid w:val="00213E69"/>
    <w:rsid w:val="00217770"/>
    <w:rsid w:val="00220C14"/>
    <w:rsid w:val="002223B2"/>
    <w:rsid w:val="0022274E"/>
    <w:rsid w:val="0022508C"/>
    <w:rsid w:val="00226777"/>
    <w:rsid w:val="00227805"/>
    <w:rsid w:val="00231FCC"/>
    <w:rsid w:val="00235BD1"/>
    <w:rsid w:val="00236EB6"/>
    <w:rsid w:val="00242457"/>
    <w:rsid w:val="00242B0E"/>
    <w:rsid w:val="00245339"/>
    <w:rsid w:val="002466BF"/>
    <w:rsid w:val="00247DF0"/>
    <w:rsid w:val="00250393"/>
    <w:rsid w:val="00254813"/>
    <w:rsid w:val="00254F38"/>
    <w:rsid w:val="002554C0"/>
    <w:rsid w:val="00257FF2"/>
    <w:rsid w:val="00261D04"/>
    <w:rsid w:val="00264C65"/>
    <w:rsid w:val="00265822"/>
    <w:rsid w:val="0027105F"/>
    <w:rsid w:val="002711FB"/>
    <w:rsid w:val="00272FCA"/>
    <w:rsid w:val="002734C8"/>
    <w:rsid w:val="00275D11"/>
    <w:rsid w:val="00282E01"/>
    <w:rsid w:val="00283318"/>
    <w:rsid w:val="00285525"/>
    <w:rsid w:val="002904F6"/>
    <w:rsid w:val="00294CD8"/>
    <w:rsid w:val="00296DBD"/>
    <w:rsid w:val="0029711B"/>
    <w:rsid w:val="00297B95"/>
    <w:rsid w:val="002A270B"/>
    <w:rsid w:val="002A40AE"/>
    <w:rsid w:val="002A431B"/>
    <w:rsid w:val="002A4B0A"/>
    <w:rsid w:val="002A50FD"/>
    <w:rsid w:val="002A6753"/>
    <w:rsid w:val="002B28D7"/>
    <w:rsid w:val="002B7EB6"/>
    <w:rsid w:val="002C0B61"/>
    <w:rsid w:val="002C15E6"/>
    <w:rsid w:val="002C247D"/>
    <w:rsid w:val="002C3345"/>
    <w:rsid w:val="002C3556"/>
    <w:rsid w:val="002D409A"/>
    <w:rsid w:val="002D4873"/>
    <w:rsid w:val="002F30E7"/>
    <w:rsid w:val="002F55EF"/>
    <w:rsid w:val="002F5BCD"/>
    <w:rsid w:val="003006C8"/>
    <w:rsid w:val="00300EEB"/>
    <w:rsid w:val="003013A9"/>
    <w:rsid w:val="003020B5"/>
    <w:rsid w:val="003027BB"/>
    <w:rsid w:val="003030C8"/>
    <w:rsid w:val="00304F3D"/>
    <w:rsid w:val="00310A10"/>
    <w:rsid w:val="00311461"/>
    <w:rsid w:val="003138B6"/>
    <w:rsid w:val="00314419"/>
    <w:rsid w:val="00314514"/>
    <w:rsid w:val="00324798"/>
    <w:rsid w:val="00324DA5"/>
    <w:rsid w:val="00327D25"/>
    <w:rsid w:val="003319A7"/>
    <w:rsid w:val="00334FE3"/>
    <w:rsid w:val="003421AE"/>
    <w:rsid w:val="003433D1"/>
    <w:rsid w:val="00344B24"/>
    <w:rsid w:val="003456B9"/>
    <w:rsid w:val="0035067D"/>
    <w:rsid w:val="00352047"/>
    <w:rsid w:val="00352BE9"/>
    <w:rsid w:val="00353A16"/>
    <w:rsid w:val="003544DE"/>
    <w:rsid w:val="0035776D"/>
    <w:rsid w:val="00360B47"/>
    <w:rsid w:val="00364FD9"/>
    <w:rsid w:val="00367C1B"/>
    <w:rsid w:val="00371036"/>
    <w:rsid w:val="00376B61"/>
    <w:rsid w:val="00382407"/>
    <w:rsid w:val="003855CD"/>
    <w:rsid w:val="00386542"/>
    <w:rsid w:val="00386A64"/>
    <w:rsid w:val="00386FA1"/>
    <w:rsid w:val="00390142"/>
    <w:rsid w:val="0039262C"/>
    <w:rsid w:val="00392F00"/>
    <w:rsid w:val="003952EB"/>
    <w:rsid w:val="00397045"/>
    <w:rsid w:val="00397377"/>
    <w:rsid w:val="00397530"/>
    <w:rsid w:val="003A22DE"/>
    <w:rsid w:val="003A2860"/>
    <w:rsid w:val="003A3C35"/>
    <w:rsid w:val="003A7D30"/>
    <w:rsid w:val="003B1174"/>
    <w:rsid w:val="003B3C5C"/>
    <w:rsid w:val="003B6B0C"/>
    <w:rsid w:val="003C2619"/>
    <w:rsid w:val="003C47CA"/>
    <w:rsid w:val="003C69DB"/>
    <w:rsid w:val="003D11CA"/>
    <w:rsid w:val="003D18A5"/>
    <w:rsid w:val="003D6DE1"/>
    <w:rsid w:val="003D795C"/>
    <w:rsid w:val="003E30FB"/>
    <w:rsid w:val="003F2711"/>
    <w:rsid w:val="003F2F47"/>
    <w:rsid w:val="003F3B87"/>
    <w:rsid w:val="003F6C70"/>
    <w:rsid w:val="003F7CB9"/>
    <w:rsid w:val="00403333"/>
    <w:rsid w:val="00404990"/>
    <w:rsid w:val="00405B74"/>
    <w:rsid w:val="00411735"/>
    <w:rsid w:val="0041305E"/>
    <w:rsid w:val="004226E7"/>
    <w:rsid w:val="0043654D"/>
    <w:rsid w:val="0044302F"/>
    <w:rsid w:val="004441EF"/>
    <w:rsid w:val="00451840"/>
    <w:rsid w:val="00457DE6"/>
    <w:rsid w:val="00460C9A"/>
    <w:rsid w:val="00462595"/>
    <w:rsid w:val="00464870"/>
    <w:rsid w:val="00464924"/>
    <w:rsid w:val="00465597"/>
    <w:rsid w:val="00467252"/>
    <w:rsid w:val="00471AA9"/>
    <w:rsid w:val="00472805"/>
    <w:rsid w:val="0047358E"/>
    <w:rsid w:val="0047581D"/>
    <w:rsid w:val="00480289"/>
    <w:rsid w:val="00481279"/>
    <w:rsid w:val="00483066"/>
    <w:rsid w:val="00483368"/>
    <w:rsid w:val="00484632"/>
    <w:rsid w:val="004911AC"/>
    <w:rsid w:val="00491D15"/>
    <w:rsid w:val="00494011"/>
    <w:rsid w:val="00494B1F"/>
    <w:rsid w:val="00495AAE"/>
    <w:rsid w:val="00495FED"/>
    <w:rsid w:val="004A0BF4"/>
    <w:rsid w:val="004A1D43"/>
    <w:rsid w:val="004A263B"/>
    <w:rsid w:val="004A56BE"/>
    <w:rsid w:val="004A68EF"/>
    <w:rsid w:val="004A6DDF"/>
    <w:rsid w:val="004B021E"/>
    <w:rsid w:val="004B0A36"/>
    <w:rsid w:val="004B68AE"/>
    <w:rsid w:val="004B7E6D"/>
    <w:rsid w:val="004C1A3D"/>
    <w:rsid w:val="004C1E49"/>
    <w:rsid w:val="004C2992"/>
    <w:rsid w:val="004C3544"/>
    <w:rsid w:val="004C35B0"/>
    <w:rsid w:val="004C49EF"/>
    <w:rsid w:val="004C4A19"/>
    <w:rsid w:val="004C5570"/>
    <w:rsid w:val="004D00C9"/>
    <w:rsid w:val="004E01F2"/>
    <w:rsid w:val="004E05BC"/>
    <w:rsid w:val="004E16F5"/>
    <w:rsid w:val="004E2A03"/>
    <w:rsid w:val="004E3CC7"/>
    <w:rsid w:val="004E5334"/>
    <w:rsid w:val="004E5B69"/>
    <w:rsid w:val="004E72E4"/>
    <w:rsid w:val="004F16B5"/>
    <w:rsid w:val="004F20B5"/>
    <w:rsid w:val="004F2A87"/>
    <w:rsid w:val="004F47AF"/>
    <w:rsid w:val="00500465"/>
    <w:rsid w:val="0050517E"/>
    <w:rsid w:val="00507C56"/>
    <w:rsid w:val="00511102"/>
    <w:rsid w:val="005116DB"/>
    <w:rsid w:val="005117D2"/>
    <w:rsid w:val="005136FC"/>
    <w:rsid w:val="00520A40"/>
    <w:rsid w:val="0052344E"/>
    <w:rsid w:val="00526478"/>
    <w:rsid w:val="00530204"/>
    <w:rsid w:val="00532FDE"/>
    <w:rsid w:val="00534C5F"/>
    <w:rsid w:val="00535C37"/>
    <w:rsid w:val="00540257"/>
    <w:rsid w:val="0054192F"/>
    <w:rsid w:val="00544EB3"/>
    <w:rsid w:val="005457B8"/>
    <w:rsid w:val="0054594B"/>
    <w:rsid w:val="00545F0D"/>
    <w:rsid w:val="0054749B"/>
    <w:rsid w:val="005512EE"/>
    <w:rsid w:val="00551CC6"/>
    <w:rsid w:val="0055278C"/>
    <w:rsid w:val="00560541"/>
    <w:rsid w:val="00565012"/>
    <w:rsid w:val="005672D0"/>
    <w:rsid w:val="00567EC1"/>
    <w:rsid w:val="005712F6"/>
    <w:rsid w:val="005716E8"/>
    <w:rsid w:val="00572CEB"/>
    <w:rsid w:val="00573E84"/>
    <w:rsid w:val="005834C9"/>
    <w:rsid w:val="00585FC0"/>
    <w:rsid w:val="00586E51"/>
    <w:rsid w:val="00591FFA"/>
    <w:rsid w:val="005923DA"/>
    <w:rsid w:val="00596A55"/>
    <w:rsid w:val="005A1500"/>
    <w:rsid w:val="005A3877"/>
    <w:rsid w:val="005A58BA"/>
    <w:rsid w:val="005A5D30"/>
    <w:rsid w:val="005A6AB9"/>
    <w:rsid w:val="005A785B"/>
    <w:rsid w:val="005B3911"/>
    <w:rsid w:val="005B4985"/>
    <w:rsid w:val="005B5715"/>
    <w:rsid w:val="005C0140"/>
    <w:rsid w:val="005C1CD3"/>
    <w:rsid w:val="005C333E"/>
    <w:rsid w:val="005C3AE7"/>
    <w:rsid w:val="005D0677"/>
    <w:rsid w:val="005D414A"/>
    <w:rsid w:val="005D73A6"/>
    <w:rsid w:val="005E294C"/>
    <w:rsid w:val="005E2CE3"/>
    <w:rsid w:val="005E6865"/>
    <w:rsid w:val="005F3F07"/>
    <w:rsid w:val="005F4512"/>
    <w:rsid w:val="005F5062"/>
    <w:rsid w:val="005F5099"/>
    <w:rsid w:val="005F7FB9"/>
    <w:rsid w:val="00601972"/>
    <w:rsid w:val="00603D04"/>
    <w:rsid w:val="00606857"/>
    <w:rsid w:val="00610689"/>
    <w:rsid w:val="006124EE"/>
    <w:rsid w:val="00615F42"/>
    <w:rsid w:val="0061658F"/>
    <w:rsid w:val="00616C2F"/>
    <w:rsid w:val="00621AFD"/>
    <w:rsid w:val="006223D1"/>
    <w:rsid w:val="006258C2"/>
    <w:rsid w:val="00625DEB"/>
    <w:rsid w:val="00625EFA"/>
    <w:rsid w:val="00626270"/>
    <w:rsid w:val="00626365"/>
    <w:rsid w:val="00630E22"/>
    <w:rsid w:val="00632329"/>
    <w:rsid w:val="00633136"/>
    <w:rsid w:val="006354EE"/>
    <w:rsid w:val="00640050"/>
    <w:rsid w:val="00640AE5"/>
    <w:rsid w:val="0064168C"/>
    <w:rsid w:val="00657B46"/>
    <w:rsid w:val="0066204C"/>
    <w:rsid w:val="00671F29"/>
    <w:rsid w:val="006751A9"/>
    <w:rsid w:val="006764EC"/>
    <w:rsid w:val="006835FE"/>
    <w:rsid w:val="00683FDD"/>
    <w:rsid w:val="006862AF"/>
    <w:rsid w:val="006907A4"/>
    <w:rsid w:val="00691034"/>
    <w:rsid w:val="0069178D"/>
    <w:rsid w:val="00693BFD"/>
    <w:rsid w:val="00694D7C"/>
    <w:rsid w:val="00695065"/>
    <w:rsid w:val="00696932"/>
    <w:rsid w:val="006A1038"/>
    <w:rsid w:val="006A608F"/>
    <w:rsid w:val="006A649A"/>
    <w:rsid w:val="006B09D0"/>
    <w:rsid w:val="006B16B7"/>
    <w:rsid w:val="006B1B49"/>
    <w:rsid w:val="006B3520"/>
    <w:rsid w:val="006B5841"/>
    <w:rsid w:val="006B6390"/>
    <w:rsid w:val="006C0356"/>
    <w:rsid w:val="006C0843"/>
    <w:rsid w:val="006C1956"/>
    <w:rsid w:val="006C7274"/>
    <w:rsid w:val="006C74B1"/>
    <w:rsid w:val="006D0BE7"/>
    <w:rsid w:val="006D1714"/>
    <w:rsid w:val="006D6CD8"/>
    <w:rsid w:val="006E57AA"/>
    <w:rsid w:val="006E79CE"/>
    <w:rsid w:val="006F20CF"/>
    <w:rsid w:val="006F2421"/>
    <w:rsid w:val="006F38ED"/>
    <w:rsid w:val="006F5AC3"/>
    <w:rsid w:val="006F77FF"/>
    <w:rsid w:val="007048AF"/>
    <w:rsid w:val="00706136"/>
    <w:rsid w:val="00707D4D"/>
    <w:rsid w:val="00711806"/>
    <w:rsid w:val="0071302B"/>
    <w:rsid w:val="00713187"/>
    <w:rsid w:val="0071386A"/>
    <w:rsid w:val="00714FC4"/>
    <w:rsid w:val="007163EC"/>
    <w:rsid w:val="007205B6"/>
    <w:rsid w:val="00722B0C"/>
    <w:rsid w:val="00723503"/>
    <w:rsid w:val="00725233"/>
    <w:rsid w:val="00727678"/>
    <w:rsid w:val="00730C04"/>
    <w:rsid w:val="0073597B"/>
    <w:rsid w:val="007378F6"/>
    <w:rsid w:val="0074029A"/>
    <w:rsid w:val="007407E9"/>
    <w:rsid w:val="0074324C"/>
    <w:rsid w:val="0074545D"/>
    <w:rsid w:val="007522E3"/>
    <w:rsid w:val="0075335B"/>
    <w:rsid w:val="00753C44"/>
    <w:rsid w:val="00754383"/>
    <w:rsid w:val="007564D1"/>
    <w:rsid w:val="00757232"/>
    <w:rsid w:val="00760679"/>
    <w:rsid w:val="00763628"/>
    <w:rsid w:val="00764D12"/>
    <w:rsid w:val="00767E99"/>
    <w:rsid w:val="00772E62"/>
    <w:rsid w:val="00776B84"/>
    <w:rsid w:val="0077789B"/>
    <w:rsid w:val="00780D29"/>
    <w:rsid w:val="00791C8D"/>
    <w:rsid w:val="007936C2"/>
    <w:rsid w:val="00794181"/>
    <w:rsid w:val="0079540F"/>
    <w:rsid w:val="007A2A8F"/>
    <w:rsid w:val="007A71A4"/>
    <w:rsid w:val="007A7F02"/>
    <w:rsid w:val="007A7F6F"/>
    <w:rsid w:val="007B1561"/>
    <w:rsid w:val="007B3021"/>
    <w:rsid w:val="007B4C76"/>
    <w:rsid w:val="007C2260"/>
    <w:rsid w:val="007C2B0C"/>
    <w:rsid w:val="007C5108"/>
    <w:rsid w:val="007D05EE"/>
    <w:rsid w:val="007D07F9"/>
    <w:rsid w:val="007D1B9C"/>
    <w:rsid w:val="007D1E52"/>
    <w:rsid w:val="007D2358"/>
    <w:rsid w:val="007D26A8"/>
    <w:rsid w:val="007D3CCA"/>
    <w:rsid w:val="007D686D"/>
    <w:rsid w:val="007D711E"/>
    <w:rsid w:val="007E3094"/>
    <w:rsid w:val="007E39E4"/>
    <w:rsid w:val="007E5778"/>
    <w:rsid w:val="007E6F57"/>
    <w:rsid w:val="007E6FB3"/>
    <w:rsid w:val="007F21B4"/>
    <w:rsid w:val="007F7E50"/>
    <w:rsid w:val="00801046"/>
    <w:rsid w:val="00802553"/>
    <w:rsid w:val="00803EAB"/>
    <w:rsid w:val="00804098"/>
    <w:rsid w:val="008046B5"/>
    <w:rsid w:val="008051A7"/>
    <w:rsid w:val="008127C0"/>
    <w:rsid w:val="00812EDD"/>
    <w:rsid w:val="008139C5"/>
    <w:rsid w:val="0081650F"/>
    <w:rsid w:val="00831FF4"/>
    <w:rsid w:val="00832B31"/>
    <w:rsid w:val="008403E0"/>
    <w:rsid w:val="0084093E"/>
    <w:rsid w:val="0084657B"/>
    <w:rsid w:val="00854EAE"/>
    <w:rsid w:val="008552DB"/>
    <w:rsid w:val="00855345"/>
    <w:rsid w:val="0085570E"/>
    <w:rsid w:val="00855944"/>
    <w:rsid w:val="00861759"/>
    <w:rsid w:val="008629D8"/>
    <w:rsid w:val="00864A18"/>
    <w:rsid w:val="0086518C"/>
    <w:rsid w:val="00865C05"/>
    <w:rsid w:val="00867447"/>
    <w:rsid w:val="00870833"/>
    <w:rsid w:val="00871865"/>
    <w:rsid w:val="00871A25"/>
    <w:rsid w:val="00872FB1"/>
    <w:rsid w:val="00874571"/>
    <w:rsid w:val="008764E9"/>
    <w:rsid w:val="00880F4E"/>
    <w:rsid w:val="00881F93"/>
    <w:rsid w:val="00882CB5"/>
    <w:rsid w:val="00883333"/>
    <w:rsid w:val="00883641"/>
    <w:rsid w:val="00884E69"/>
    <w:rsid w:val="00886A99"/>
    <w:rsid w:val="00890082"/>
    <w:rsid w:val="008962E1"/>
    <w:rsid w:val="008A29CB"/>
    <w:rsid w:val="008A2D53"/>
    <w:rsid w:val="008A314A"/>
    <w:rsid w:val="008A48D2"/>
    <w:rsid w:val="008B080D"/>
    <w:rsid w:val="008B2610"/>
    <w:rsid w:val="008B2FF3"/>
    <w:rsid w:val="008B471D"/>
    <w:rsid w:val="008B49E4"/>
    <w:rsid w:val="008B5A00"/>
    <w:rsid w:val="008B729C"/>
    <w:rsid w:val="008C1424"/>
    <w:rsid w:val="008C4A93"/>
    <w:rsid w:val="008C61F6"/>
    <w:rsid w:val="008D408D"/>
    <w:rsid w:val="008D65E1"/>
    <w:rsid w:val="008E088D"/>
    <w:rsid w:val="008E0E49"/>
    <w:rsid w:val="008E35FD"/>
    <w:rsid w:val="008E50D6"/>
    <w:rsid w:val="008E6227"/>
    <w:rsid w:val="00903A34"/>
    <w:rsid w:val="00904576"/>
    <w:rsid w:val="0090543D"/>
    <w:rsid w:val="009056C5"/>
    <w:rsid w:val="00905E3E"/>
    <w:rsid w:val="00914220"/>
    <w:rsid w:val="009262F2"/>
    <w:rsid w:val="00930343"/>
    <w:rsid w:val="00937791"/>
    <w:rsid w:val="00945B55"/>
    <w:rsid w:val="00950448"/>
    <w:rsid w:val="00950846"/>
    <w:rsid w:val="00951933"/>
    <w:rsid w:val="00954343"/>
    <w:rsid w:val="00955271"/>
    <w:rsid w:val="00962403"/>
    <w:rsid w:val="00963C9C"/>
    <w:rsid w:val="00965226"/>
    <w:rsid w:val="00965B6B"/>
    <w:rsid w:val="00971EDB"/>
    <w:rsid w:val="0097275A"/>
    <w:rsid w:val="00974CB3"/>
    <w:rsid w:val="00974D50"/>
    <w:rsid w:val="00982B26"/>
    <w:rsid w:val="00983E3F"/>
    <w:rsid w:val="00987ABE"/>
    <w:rsid w:val="00991EE4"/>
    <w:rsid w:val="00993207"/>
    <w:rsid w:val="009939DC"/>
    <w:rsid w:val="00993B9C"/>
    <w:rsid w:val="00994843"/>
    <w:rsid w:val="0099547C"/>
    <w:rsid w:val="009964EF"/>
    <w:rsid w:val="00997623"/>
    <w:rsid w:val="009A70A8"/>
    <w:rsid w:val="009B4E1E"/>
    <w:rsid w:val="009C03FB"/>
    <w:rsid w:val="009C10DF"/>
    <w:rsid w:val="009C34D0"/>
    <w:rsid w:val="009C4B4F"/>
    <w:rsid w:val="009D441B"/>
    <w:rsid w:val="009D6005"/>
    <w:rsid w:val="009F0C02"/>
    <w:rsid w:val="009F4470"/>
    <w:rsid w:val="009F4B71"/>
    <w:rsid w:val="009F5758"/>
    <w:rsid w:val="009F5C98"/>
    <w:rsid w:val="00A00E32"/>
    <w:rsid w:val="00A01A1F"/>
    <w:rsid w:val="00A0283F"/>
    <w:rsid w:val="00A04F4A"/>
    <w:rsid w:val="00A065CF"/>
    <w:rsid w:val="00A226FD"/>
    <w:rsid w:val="00A248BF"/>
    <w:rsid w:val="00A26343"/>
    <w:rsid w:val="00A31E9B"/>
    <w:rsid w:val="00A33FAB"/>
    <w:rsid w:val="00A35658"/>
    <w:rsid w:val="00A40133"/>
    <w:rsid w:val="00A407F1"/>
    <w:rsid w:val="00A408B5"/>
    <w:rsid w:val="00A44385"/>
    <w:rsid w:val="00A529E2"/>
    <w:rsid w:val="00A539F8"/>
    <w:rsid w:val="00A540EB"/>
    <w:rsid w:val="00A55752"/>
    <w:rsid w:val="00A6491A"/>
    <w:rsid w:val="00A6594E"/>
    <w:rsid w:val="00A71014"/>
    <w:rsid w:val="00A727B6"/>
    <w:rsid w:val="00A748DF"/>
    <w:rsid w:val="00A81CC6"/>
    <w:rsid w:val="00A83EC6"/>
    <w:rsid w:val="00A85E8F"/>
    <w:rsid w:val="00A8732C"/>
    <w:rsid w:val="00A9062D"/>
    <w:rsid w:val="00A92F7E"/>
    <w:rsid w:val="00A93F58"/>
    <w:rsid w:val="00A96329"/>
    <w:rsid w:val="00A96A0F"/>
    <w:rsid w:val="00AA134B"/>
    <w:rsid w:val="00AA2CFE"/>
    <w:rsid w:val="00AA5FDA"/>
    <w:rsid w:val="00AA6291"/>
    <w:rsid w:val="00AA6E44"/>
    <w:rsid w:val="00AC0C91"/>
    <w:rsid w:val="00AC399E"/>
    <w:rsid w:val="00AD337F"/>
    <w:rsid w:val="00AD37D4"/>
    <w:rsid w:val="00AD7986"/>
    <w:rsid w:val="00AE1188"/>
    <w:rsid w:val="00AE2E22"/>
    <w:rsid w:val="00AE6A15"/>
    <w:rsid w:val="00AE7057"/>
    <w:rsid w:val="00AE738C"/>
    <w:rsid w:val="00AF1046"/>
    <w:rsid w:val="00AF423C"/>
    <w:rsid w:val="00AF4466"/>
    <w:rsid w:val="00AF5D1E"/>
    <w:rsid w:val="00B00503"/>
    <w:rsid w:val="00B008AD"/>
    <w:rsid w:val="00B040A9"/>
    <w:rsid w:val="00B04F32"/>
    <w:rsid w:val="00B12A67"/>
    <w:rsid w:val="00B1455F"/>
    <w:rsid w:val="00B16010"/>
    <w:rsid w:val="00B169B9"/>
    <w:rsid w:val="00B1711E"/>
    <w:rsid w:val="00B17CBE"/>
    <w:rsid w:val="00B17E26"/>
    <w:rsid w:val="00B21C03"/>
    <w:rsid w:val="00B22703"/>
    <w:rsid w:val="00B23042"/>
    <w:rsid w:val="00B231A4"/>
    <w:rsid w:val="00B24EC9"/>
    <w:rsid w:val="00B25D20"/>
    <w:rsid w:val="00B25D32"/>
    <w:rsid w:val="00B26E42"/>
    <w:rsid w:val="00B277EC"/>
    <w:rsid w:val="00B31C99"/>
    <w:rsid w:val="00B33828"/>
    <w:rsid w:val="00B36909"/>
    <w:rsid w:val="00B37064"/>
    <w:rsid w:val="00B404CE"/>
    <w:rsid w:val="00B41065"/>
    <w:rsid w:val="00B52746"/>
    <w:rsid w:val="00B53453"/>
    <w:rsid w:val="00B53BA6"/>
    <w:rsid w:val="00B54774"/>
    <w:rsid w:val="00B5731D"/>
    <w:rsid w:val="00B6378B"/>
    <w:rsid w:val="00B63E3A"/>
    <w:rsid w:val="00B665F2"/>
    <w:rsid w:val="00B71C91"/>
    <w:rsid w:val="00B73239"/>
    <w:rsid w:val="00B75965"/>
    <w:rsid w:val="00B771AD"/>
    <w:rsid w:val="00B814CB"/>
    <w:rsid w:val="00B867BD"/>
    <w:rsid w:val="00B94CBC"/>
    <w:rsid w:val="00B94F6B"/>
    <w:rsid w:val="00BA0CF8"/>
    <w:rsid w:val="00BA1ADF"/>
    <w:rsid w:val="00BA51FC"/>
    <w:rsid w:val="00BA5AFF"/>
    <w:rsid w:val="00BB003A"/>
    <w:rsid w:val="00BB1221"/>
    <w:rsid w:val="00BB1CB7"/>
    <w:rsid w:val="00BB3358"/>
    <w:rsid w:val="00BB3382"/>
    <w:rsid w:val="00BB3643"/>
    <w:rsid w:val="00BB64CB"/>
    <w:rsid w:val="00BC2D6C"/>
    <w:rsid w:val="00BC3DA0"/>
    <w:rsid w:val="00BC424B"/>
    <w:rsid w:val="00BC46B4"/>
    <w:rsid w:val="00BC6420"/>
    <w:rsid w:val="00BC7C62"/>
    <w:rsid w:val="00BD49EF"/>
    <w:rsid w:val="00BE0FDE"/>
    <w:rsid w:val="00BE16C4"/>
    <w:rsid w:val="00BE413B"/>
    <w:rsid w:val="00BE44F4"/>
    <w:rsid w:val="00BE702E"/>
    <w:rsid w:val="00BE7845"/>
    <w:rsid w:val="00BF6AC5"/>
    <w:rsid w:val="00C01121"/>
    <w:rsid w:val="00C030A5"/>
    <w:rsid w:val="00C0431B"/>
    <w:rsid w:val="00C05A45"/>
    <w:rsid w:val="00C05B93"/>
    <w:rsid w:val="00C0796F"/>
    <w:rsid w:val="00C11B34"/>
    <w:rsid w:val="00C12C5C"/>
    <w:rsid w:val="00C171FB"/>
    <w:rsid w:val="00C209C2"/>
    <w:rsid w:val="00C21C76"/>
    <w:rsid w:val="00C2267F"/>
    <w:rsid w:val="00C22AD8"/>
    <w:rsid w:val="00C23237"/>
    <w:rsid w:val="00C23B27"/>
    <w:rsid w:val="00C2431D"/>
    <w:rsid w:val="00C3071E"/>
    <w:rsid w:val="00C31CFE"/>
    <w:rsid w:val="00C3449E"/>
    <w:rsid w:val="00C3557E"/>
    <w:rsid w:val="00C3594B"/>
    <w:rsid w:val="00C37DE0"/>
    <w:rsid w:val="00C4052D"/>
    <w:rsid w:val="00C4134E"/>
    <w:rsid w:val="00C43102"/>
    <w:rsid w:val="00C4696B"/>
    <w:rsid w:val="00C47427"/>
    <w:rsid w:val="00C50513"/>
    <w:rsid w:val="00C54503"/>
    <w:rsid w:val="00C62BE7"/>
    <w:rsid w:val="00C62C8E"/>
    <w:rsid w:val="00C63055"/>
    <w:rsid w:val="00C656B5"/>
    <w:rsid w:val="00C73B62"/>
    <w:rsid w:val="00C7508A"/>
    <w:rsid w:val="00C776B1"/>
    <w:rsid w:val="00C815FE"/>
    <w:rsid w:val="00C847AE"/>
    <w:rsid w:val="00C92D99"/>
    <w:rsid w:val="00C944F1"/>
    <w:rsid w:val="00CA04C6"/>
    <w:rsid w:val="00CA26DD"/>
    <w:rsid w:val="00CA26EB"/>
    <w:rsid w:val="00CA400C"/>
    <w:rsid w:val="00CB01DF"/>
    <w:rsid w:val="00CB12EC"/>
    <w:rsid w:val="00CB1474"/>
    <w:rsid w:val="00CB237F"/>
    <w:rsid w:val="00CB2DFF"/>
    <w:rsid w:val="00CB337F"/>
    <w:rsid w:val="00CB734B"/>
    <w:rsid w:val="00CC09D7"/>
    <w:rsid w:val="00CC0D3A"/>
    <w:rsid w:val="00CC12B8"/>
    <w:rsid w:val="00CC289A"/>
    <w:rsid w:val="00CC37D0"/>
    <w:rsid w:val="00CC564C"/>
    <w:rsid w:val="00CC7E96"/>
    <w:rsid w:val="00CD22E3"/>
    <w:rsid w:val="00CD49C9"/>
    <w:rsid w:val="00CD4ADD"/>
    <w:rsid w:val="00CD4E44"/>
    <w:rsid w:val="00CD5AE4"/>
    <w:rsid w:val="00CD67D9"/>
    <w:rsid w:val="00CD7A7D"/>
    <w:rsid w:val="00CD7CCA"/>
    <w:rsid w:val="00CE0373"/>
    <w:rsid w:val="00CF1AC2"/>
    <w:rsid w:val="00CF2D8E"/>
    <w:rsid w:val="00CF2DFA"/>
    <w:rsid w:val="00CF46BB"/>
    <w:rsid w:val="00CF5499"/>
    <w:rsid w:val="00CF5AD8"/>
    <w:rsid w:val="00D00122"/>
    <w:rsid w:val="00D013C3"/>
    <w:rsid w:val="00D01D2A"/>
    <w:rsid w:val="00D0209E"/>
    <w:rsid w:val="00D07FF4"/>
    <w:rsid w:val="00D10B47"/>
    <w:rsid w:val="00D10DB8"/>
    <w:rsid w:val="00D11EB1"/>
    <w:rsid w:val="00D14B46"/>
    <w:rsid w:val="00D17F17"/>
    <w:rsid w:val="00D21737"/>
    <w:rsid w:val="00D23155"/>
    <w:rsid w:val="00D23597"/>
    <w:rsid w:val="00D25F12"/>
    <w:rsid w:val="00D30BDC"/>
    <w:rsid w:val="00D31D82"/>
    <w:rsid w:val="00D326D6"/>
    <w:rsid w:val="00D40079"/>
    <w:rsid w:val="00D46374"/>
    <w:rsid w:val="00D514BF"/>
    <w:rsid w:val="00D57F88"/>
    <w:rsid w:val="00D63C41"/>
    <w:rsid w:val="00D67AEE"/>
    <w:rsid w:val="00D7105C"/>
    <w:rsid w:val="00D73646"/>
    <w:rsid w:val="00D75E27"/>
    <w:rsid w:val="00D777B4"/>
    <w:rsid w:val="00D77A90"/>
    <w:rsid w:val="00D82007"/>
    <w:rsid w:val="00D83247"/>
    <w:rsid w:val="00D8360B"/>
    <w:rsid w:val="00D85676"/>
    <w:rsid w:val="00D96ADA"/>
    <w:rsid w:val="00D97AE8"/>
    <w:rsid w:val="00DA221C"/>
    <w:rsid w:val="00DA238D"/>
    <w:rsid w:val="00DA2886"/>
    <w:rsid w:val="00DA5E50"/>
    <w:rsid w:val="00DA7D0C"/>
    <w:rsid w:val="00DB063C"/>
    <w:rsid w:val="00DB2081"/>
    <w:rsid w:val="00DB311C"/>
    <w:rsid w:val="00DB432D"/>
    <w:rsid w:val="00DB519B"/>
    <w:rsid w:val="00DB6116"/>
    <w:rsid w:val="00DC1655"/>
    <w:rsid w:val="00DC7694"/>
    <w:rsid w:val="00DC7FBE"/>
    <w:rsid w:val="00DD130E"/>
    <w:rsid w:val="00DD308E"/>
    <w:rsid w:val="00DD518B"/>
    <w:rsid w:val="00DD671C"/>
    <w:rsid w:val="00DD6C86"/>
    <w:rsid w:val="00DE2CC0"/>
    <w:rsid w:val="00DF0C51"/>
    <w:rsid w:val="00DF0D47"/>
    <w:rsid w:val="00DF1652"/>
    <w:rsid w:val="00DF552D"/>
    <w:rsid w:val="00DF6105"/>
    <w:rsid w:val="00DF6D37"/>
    <w:rsid w:val="00DF7C7F"/>
    <w:rsid w:val="00E048ED"/>
    <w:rsid w:val="00E04FB3"/>
    <w:rsid w:val="00E052E5"/>
    <w:rsid w:val="00E058F2"/>
    <w:rsid w:val="00E05D9C"/>
    <w:rsid w:val="00E06102"/>
    <w:rsid w:val="00E072A0"/>
    <w:rsid w:val="00E15412"/>
    <w:rsid w:val="00E20096"/>
    <w:rsid w:val="00E219DC"/>
    <w:rsid w:val="00E23E71"/>
    <w:rsid w:val="00E25B9A"/>
    <w:rsid w:val="00E30F19"/>
    <w:rsid w:val="00E33C4A"/>
    <w:rsid w:val="00E357B9"/>
    <w:rsid w:val="00E36378"/>
    <w:rsid w:val="00E367EE"/>
    <w:rsid w:val="00E416F6"/>
    <w:rsid w:val="00E4321E"/>
    <w:rsid w:val="00E44B80"/>
    <w:rsid w:val="00E46CAC"/>
    <w:rsid w:val="00E47623"/>
    <w:rsid w:val="00E47755"/>
    <w:rsid w:val="00E51A7E"/>
    <w:rsid w:val="00E52006"/>
    <w:rsid w:val="00E54439"/>
    <w:rsid w:val="00E60529"/>
    <w:rsid w:val="00E6648B"/>
    <w:rsid w:val="00E70D86"/>
    <w:rsid w:val="00E7628E"/>
    <w:rsid w:val="00E77B49"/>
    <w:rsid w:val="00E80507"/>
    <w:rsid w:val="00E82F54"/>
    <w:rsid w:val="00E8649B"/>
    <w:rsid w:val="00E871CD"/>
    <w:rsid w:val="00E87AE4"/>
    <w:rsid w:val="00E90990"/>
    <w:rsid w:val="00E95D3D"/>
    <w:rsid w:val="00EA0CD2"/>
    <w:rsid w:val="00EA0E25"/>
    <w:rsid w:val="00EA173C"/>
    <w:rsid w:val="00EB0182"/>
    <w:rsid w:val="00EB3B11"/>
    <w:rsid w:val="00EB4731"/>
    <w:rsid w:val="00EB548E"/>
    <w:rsid w:val="00EB5B9A"/>
    <w:rsid w:val="00EC127A"/>
    <w:rsid w:val="00EC1FF9"/>
    <w:rsid w:val="00EC2737"/>
    <w:rsid w:val="00EC4CB8"/>
    <w:rsid w:val="00ED0C9F"/>
    <w:rsid w:val="00ED1122"/>
    <w:rsid w:val="00ED1C78"/>
    <w:rsid w:val="00EE2716"/>
    <w:rsid w:val="00EE574B"/>
    <w:rsid w:val="00EE6450"/>
    <w:rsid w:val="00EE71DD"/>
    <w:rsid w:val="00EF10A0"/>
    <w:rsid w:val="00F01C2C"/>
    <w:rsid w:val="00F03A70"/>
    <w:rsid w:val="00F10ED8"/>
    <w:rsid w:val="00F1375C"/>
    <w:rsid w:val="00F16A82"/>
    <w:rsid w:val="00F222BE"/>
    <w:rsid w:val="00F225CE"/>
    <w:rsid w:val="00F22F4D"/>
    <w:rsid w:val="00F24179"/>
    <w:rsid w:val="00F300F9"/>
    <w:rsid w:val="00F301F1"/>
    <w:rsid w:val="00F30B16"/>
    <w:rsid w:val="00F30C22"/>
    <w:rsid w:val="00F33F1A"/>
    <w:rsid w:val="00F34934"/>
    <w:rsid w:val="00F34AEC"/>
    <w:rsid w:val="00F35FF4"/>
    <w:rsid w:val="00F379B5"/>
    <w:rsid w:val="00F40694"/>
    <w:rsid w:val="00F547F7"/>
    <w:rsid w:val="00F54CCF"/>
    <w:rsid w:val="00F61D7A"/>
    <w:rsid w:val="00F637B3"/>
    <w:rsid w:val="00F63A62"/>
    <w:rsid w:val="00F648FB"/>
    <w:rsid w:val="00F64E57"/>
    <w:rsid w:val="00F66CF7"/>
    <w:rsid w:val="00F67BCB"/>
    <w:rsid w:val="00F704BC"/>
    <w:rsid w:val="00F776B7"/>
    <w:rsid w:val="00F77C57"/>
    <w:rsid w:val="00F813C7"/>
    <w:rsid w:val="00F83566"/>
    <w:rsid w:val="00F83A9D"/>
    <w:rsid w:val="00F906B5"/>
    <w:rsid w:val="00F93784"/>
    <w:rsid w:val="00F971CC"/>
    <w:rsid w:val="00FA2CAA"/>
    <w:rsid w:val="00FA3DA1"/>
    <w:rsid w:val="00FA6554"/>
    <w:rsid w:val="00FB0A29"/>
    <w:rsid w:val="00FB45B5"/>
    <w:rsid w:val="00FC11E1"/>
    <w:rsid w:val="00FC4878"/>
    <w:rsid w:val="00FD14E9"/>
    <w:rsid w:val="00FE16C1"/>
    <w:rsid w:val="00FE19FF"/>
    <w:rsid w:val="00FE33A6"/>
    <w:rsid w:val="00FE33C9"/>
    <w:rsid w:val="00FE5452"/>
    <w:rsid w:val="00FE5E88"/>
    <w:rsid w:val="00FE74EC"/>
    <w:rsid w:val="00FE7917"/>
    <w:rsid w:val="00FF1A00"/>
    <w:rsid w:val="00FF59A8"/>
    <w:rsid w:val="00FF63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0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7A4"/>
    <w:pPr>
      <w:spacing w:before="120" w:after="120" w:line="240" w:lineRule="auto"/>
      <w:ind w:left="425"/>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paragraph" w:styleId="Caption">
    <w:name w:val="caption"/>
    <w:basedOn w:val="Normal"/>
    <w:next w:val="Normal"/>
    <w:uiPriority w:val="35"/>
    <w:unhideWhenUsed/>
    <w:qFormat/>
    <w:rsid w:val="0041305E"/>
    <w:pPr>
      <w:spacing w:before="0" w:after="200"/>
    </w:pPr>
    <w:rPr>
      <w:b/>
      <w:iCs/>
      <w:sz w:val="18"/>
      <w:szCs w:val="18"/>
    </w:rPr>
  </w:style>
  <w:style w:type="character" w:styleId="FollowedHyperlink">
    <w:name w:val="FollowedHyperlink"/>
    <w:basedOn w:val="DefaultParagraphFont"/>
    <w:uiPriority w:val="99"/>
    <w:semiHidden/>
    <w:unhideWhenUsed/>
    <w:rsid w:val="002A431B"/>
    <w:rPr>
      <w:color w:val="800080" w:themeColor="followedHyperlink"/>
      <w:u w:val="single"/>
    </w:rPr>
  </w:style>
  <w:style w:type="character" w:customStyle="1" w:styleId="Mention">
    <w:name w:val="Mention"/>
    <w:basedOn w:val="DefaultParagraphFont"/>
    <w:uiPriority w:val="99"/>
    <w:semiHidden/>
    <w:unhideWhenUsed/>
    <w:rsid w:val="00A226FD"/>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7A4"/>
    <w:pPr>
      <w:spacing w:before="120" w:after="120" w:line="240" w:lineRule="auto"/>
      <w:ind w:left="425"/>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paragraph" w:styleId="Caption">
    <w:name w:val="caption"/>
    <w:basedOn w:val="Normal"/>
    <w:next w:val="Normal"/>
    <w:uiPriority w:val="35"/>
    <w:unhideWhenUsed/>
    <w:qFormat/>
    <w:rsid w:val="0041305E"/>
    <w:pPr>
      <w:spacing w:before="0" w:after="200"/>
    </w:pPr>
    <w:rPr>
      <w:b/>
      <w:iCs/>
      <w:sz w:val="18"/>
      <w:szCs w:val="18"/>
    </w:rPr>
  </w:style>
  <w:style w:type="character" w:styleId="FollowedHyperlink">
    <w:name w:val="FollowedHyperlink"/>
    <w:basedOn w:val="DefaultParagraphFont"/>
    <w:uiPriority w:val="99"/>
    <w:semiHidden/>
    <w:unhideWhenUsed/>
    <w:rsid w:val="002A431B"/>
    <w:rPr>
      <w:color w:val="800080" w:themeColor="followedHyperlink"/>
      <w:u w:val="single"/>
    </w:rPr>
  </w:style>
  <w:style w:type="character" w:customStyle="1" w:styleId="Mention">
    <w:name w:val="Mention"/>
    <w:basedOn w:val="DefaultParagraphFont"/>
    <w:uiPriority w:val="99"/>
    <w:semiHidden/>
    <w:unhideWhenUsed/>
    <w:rsid w:val="00A226F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474563453">
      <w:bodyDiv w:val="1"/>
      <w:marLeft w:val="0"/>
      <w:marRight w:val="0"/>
      <w:marTop w:val="0"/>
      <w:marBottom w:val="0"/>
      <w:divBdr>
        <w:top w:val="none" w:sz="0" w:space="0" w:color="auto"/>
        <w:left w:val="none" w:sz="0" w:space="0" w:color="auto"/>
        <w:bottom w:val="none" w:sz="0" w:space="0" w:color="auto"/>
        <w:right w:val="none" w:sz="0" w:space="0" w:color="auto"/>
      </w:divBdr>
    </w:div>
    <w:div w:id="527838400">
      <w:bodyDiv w:val="1"/>
      <w:marLeft w:val="0"/>
      <w:marRight w:val="0"/>
      <w:marTop w:val="0"/>
      <w:marBottom w:val="0"/>
      <w:divBdr>
        <w:top w:val="none" w:sz="0" w:space="0" w:color="auto"/>
        <w:left w:val="none" w:sz="0" w:space="0" w:color="auto"/>
        <w:bottom w:val="none" w:sz="0" w:space="0" w:color="auto"/>
        <w:right w:val="none" w:sz="0" w:space="0" w:color="auto"/>
      </w:divBdr>
    </w:div>
    <w:div w:id="643202035">
      <w:bodyDiv w:val="1"/>
      <w:marLeft w:val="0"/>
      <w:marRight w:val="0"/>
      <w:marTop w:val="0"/>
      <w:marBottom w:val="0"/>
      <w:divBdr>
        <w:top w:val="none" w:sz="0" w:space="0" w:color="auto"/>
        <w:left w:val="none" w:sz="0" w:space="0" w:color="auto"/>
        <w:bottom w:val="none" w:sz="0" w:space="0" w:color="auto"/>
        <w:right w:val="none" w:sz="0" w:space="0" w:color="auto"/>
      </w:divBdr>
    </w:div>
    <w:div w:id="844130122">
      <w:bodyDiv w:val="1"/>
      <w:marLeft w:val="0"/>
      <w:marRight w:val="0"/>
      <w:marTop w:val="0"/>
      <w:marBottom w:val="0"/>
      <w:divBdr>
        <w:top w:val="none" w:sz="0" w:space="0" w:color="auto"/>
        <w:left w:val="none" w:sz="0" w:space="0" w:color="auto"/>
        <w:bottom w:val="none" w:sz="0" w:space="0" w:color="auto"/>
        <w:right w:val="none" w:sz="0" w:space="0" w:color="auto"/>
      </w:divBdr>
    </w:div>
    <w:div w:id="1178496071">
      <w:bodyDiv w:val="1"/>
      <w:marLeft w:val="0"/>
      <w:marRight w:val="0"/>
      <w:marTop w:val="0"/>
      <w:marBottom w:val="0"/>
      <w:divBdr>
        <w:top w:val="none" w:sz="0" w:space="0" w:color="auto"/>
        <w:left w:val="none" w:sz="0" w:space="0" w:color="auto"/>
        <w:bottom w:val="none" w:sz="0" w:space="0" w:color="auto"/>
        <w:right w:val="none" w:sz="0" w:space="0" w:color="auto"/>
      </w:divBdr>
    </w:div>
    <w:div w:id="1211696103">
      <w:bodyDiv w:val="1"/>
      <w:marLeft w:val="0"/>
      <w:marRight w:val="0"/>
      <w:marTop w:val="0"/>
      <w:marBottom w:val="0"/>
      <w:divBdr>
        <w:top w:val="none" w:sz="0" w:space="0" w:color="auto"/>
        <w:left w:val="none" w:sz="0" w:space="0" w:color="auto"/>
        <w:bottom w:val="none" w:sz="0" w:space="0" w:color="auto"/>
        <w:right w:val="none" w:sz="0" w:space="0" w:color="auto"/>
      </w:divBdr>
    </w:div>
    <w:div w:id="1532766108">
      <w:bodyDiv w:val="1"/>
      <w:marLeft w:val="0"/>
      <w:marRight w:val="0"/>
      <w:marTop w:val="0"/>
      <w:marBottom w:val="0"/>
      <w:divBdr>
        <w:top w:val="none" w:sz="0" w:space="0" w:color="auto"/>
        <w:left w:val="none" w:sz="0" w:space="0" w:color="auto"/>
        <w:bottom w:val="none" w:sz="0" w:space="0" w:color="auto"/>
        <w:right w:val="none" w:sz="0" w:space="0" w:color="auto"/>
      </w:divBdr>
    </w:div>
    <w:div w:id="1842547411">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agnosticpathology.biomedcentral.com/articles/10.1186/s13000-016-0545-8" TargetMode="External"/><Relationship Id="rId18" Type="http://schemas.openxmlformats.org/officeDocument/2006/relationships/hyperlink" Target="http://ascopubs.org/doi/abs/10.1200/jco.2015.33.15_suppl.tps309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linicaltrials.gov/ct2/show/NCT02319044?term=NCT02319044&amp;rank=1"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acr.org/AdvocacyPolicy/GovernmentAffairs/Pages/Regulatory-Science-and-Policy-Track.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to.org/article/S1556-0864%2816%2933536-5/fulltext" TargetMode="External"/><Relationship Id="rId20" Type="http://schemas.openxmlformats.org/officeDocument/2006/relationships/hyperlink" Target="https://clinicaltrials.gov/ct2/show/study/NCT02207530?term=NCT02207530&amp;rank=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24"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s://oup.silverchair-cdn.com/oup/backfile/Content_public/Journal/annonc/27/suppl_6/10.1093_annonc_mdw376.07/2/mdw376.07.pdf?Expires=1496387248&amp;Signature=A9DnYSgutiQs6iiEfGextuIQQXLDZoYUExwvfkkaE6SPwAtOZo83mIuUaSj71zLdqARCa-j6c6y3bw6R5WFrJW2OAxchOp0P5DVIqAdz3Qim81xMV7AEdoVWZ6bYnNoB2F7j8yzUeNSm7mOXVkE5imnb-615osMcqulupzXN9nOeI2sFP5UyxaEXccPFFFnlwvO73vnGqClbVKpv2XEe1iTwibCgMt8anhm~0l6mpTzjQODmp6tscuDHfWKR6FewyXsiS5vmU1Onv43iIHWAxZYyeLJEO2AQeQPYpdW8bPuh7rMup7l-fMEAH7KoWZIbjyg4bnYaLSHujtKu7~Bikg__&amp;Key-Pair-Id=APKAIUCZBIA4LVPAVW3Q" TargetMode="External"/><Relationship Id="rId23" Type="http://schemas.openxmlformats.org/officeDocument/2006/relationships/image" Target="media/image2.emf"/><Relationship Id="rId10" Type="http://schemas.openxmlformats.org/officeDocument/2006/relationships/hyperlink" Target="mailto:hta@health.gov.au" TargetMode="External"/><Relationship Id="rId19" Type="http://schemas.openxmlformats.org/officeDocument/2006/relationships/hyperlink" Target="https://clinicaltrials.gov/ct2/results?term=%22durvalumab%22+AND+%22KESTREL%22&amp;Search=Sear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oncologypro.esmo.org/Meeting-Resources/ESMO-2016/Updated-safety-and-efficacy-of-durvalumab-MEDI4736-an-anti-PD-L-1-antibody-in-patients-from-a-squamous-cell-carcinoma-of-the-head-and-neck-SCCHN-expansion-cohort" TargetMode="External"/><Relationship Id="rId22" Type="http://schemas.openxmlformats.org/officeDocument/2006/relationships/hyperlink" Target="https://clinicaltrials.gov/ct2/show/NCT02369874?term=NCT02369874&amp;ra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A327B-B7B8-4DDF-ACE6-89C75B9CD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9700</Words>
  <Characters>55291</Characters>
  <Application>Microsoft Office Word</Application>
  <DocSecurity>4</DocSecurity>
  <Lines>460</Lines>
  <Paragraphs>129</Paragraphs>
  <ScaleCrop>false</ScaleCrop>
  <HeadingPairs>
    <vt:vector size="2" baseType="variant">
      <vt:variant>
        <vt:lpstr>Title</vt:lpstr>
      </vt:variant>
      <vt:variant>
        <vt:i4>1</vt:i4>
      </vt:variant>
    </vt:vector>
  </HeadingPairs>
  <TitlesOfParts>
    <vt:vector size="1" baseType="lpstr">
      <vt:lpstr>MSAC Application Form</vt:lpstr>
    </vt:vector>
  </TitlesOfParts>
  <LinksUpToDate>false</LinksUpToDate>
  <CharactersWithSpaces>64862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Application Form</dc:title>
  <dc:creator/>
  <cp:lastModifiedBy/>
  <cp:revision>1</cp:revision>
  <dcterms:created xsi:type="dcterms:W3CDTF">2017-11-07T03:42:00Z</dcterms:created>
  <dcterms:modified xsi:type="dcterms:W3CDTF">2017-11-07T03:42:00Z</dcterms:modified>
</cp:coreProperties>
</file>