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B0182" w:rsidRDefault="00EB0182" w:rsidP="003F7CB9">
      <w:pPr>
        <w:rPr>
          <w:rFonts w:ascii="Arial" w:hAnsi="Arial" w:cs="Arial"/>
          <w:b/>
          <w:sz w:val="52"/>
          <w:szCs w:val="52"/>
        </w:rPr>
      </w:pPr>
    </w:p>
    <w:p w:rsidR="00EB0182" w:rsidRDefault="00EB0182" w:rsidP="003F7CB9">
      <w:pPr>
        <w:rPr>
          <w:rFonts w:ascii="Arial" w:hAnsi="Arial" w:cs="Arial"/>
          <w:b/>
          <w:sz w:val="52"/>
          <w:szCs w:val="52"/>
        </w:rPr>
      </w:pP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1D77ED" w:rsidRPr="003F7CB9" w:rsidRDefault="00D73646" w:rsidP="006751A9">
      <w:bookmarkStart w:id="1" w:name="_Toc443555803"/>
      <w:r>
        <w:rPr>
          <w:rStyle w:val="IntenseReference"/>
        </w:rPr>
        <w:br w:type="page"/>
      </w:r>
      <w:bookmarkEnd w:id="1"/>
    </w:p>
    <w:p w:rsidR="00E04FB3" w:rsidRPr="00C776B1" w:rsidRDefault="00494011" w:rsidP="00A8732C">
      <w:pPr>
        <w:pStyle w:val="Heading1"/>
      </w:pPr>
      <w:r>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r w:rsidR="0078518C">
        <w:t>N/A</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8518C">
        <w:t>Astra</w:t>
      </w:r>
      <w:r w:rsidR="00416DC1">
        <w:t>Zeneca Pty</w:t>
      </w:r>
      <w:r w:rsidR="00B3083A">
        <w:t xml:space="preserve"> Limited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57DF5" w:rsidRPr="00C57DF5">
        <w:rPr>
          <w:b/>
        </w:rPr>
        <w:t>Redacted</w:t>
      </w:r>
    </w:p>
    <w:p w:rsidR="00C171FB" w:rsidRPr="00C171FB" w:rsidRDefault="00C171FB" w:rsidP="00C171FB"/>
    <w:p w:rsidR="00C171FB" w:rsidRPr="00C171FB" w:rsidRDefault="00C171FB" w:rsidP="00C171FB">
      <w:pPr>
        <w:rPr>
          <w:b/>
        </w:rPr>
      </w:pPr>
      <w:r>
        <w:rPr>
          <w:b/>
        </w:rPr>
        <w:t xml:space="preserve">Primary contact name: </w:t>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57DF5" w:rsidRPr="00C57DF5">
        <w:rPr>
          <w:b/>
        </w:rPr>
        <w:t>Redacted</w:t>
      </w:r>
    </w:p>
    <w:p w:rsidR="00C171FB" w:rsidRDefault="00C171FB" w:rsidP="00C171FB">
      <w:pPr>
        <w:rPr>
          <w:b/>
        </w:rPr>
      </w:pPr>
    </w:p>
    <w:p w:rsidR="00C171FB" w:rsidRPr="00C171FB" w:rsidRDefault="00C171FB" w:rsidP="00C171FB">
      <w:pPr>
        <w:rPr>
          <w:b/>
        </w:rPr>
      </w:pPr>
      <w:r>
        <w:rPr>
          <w:b/>
        </w:rPr>
        <w:t xml:space="preserve">Alternative contact name: </w:t>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C57DF5" w:rsidRPr="00C57DF5">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57DF5" w:rsidRPr="00C57DF5">
        <w:rPr>
          <w:b/>
        </w:rPr>
        <w:t>Redacted</w:t>
      </w:r>
    </w:p>
    <w:p w:rsidR="00C171FB" w:rsidRDefault="00C171FB" w:rsidP="00C171FB"/>
    <w:p w:rsidR="00F34AEC" w:rsidRPr="00154B00" w:rsidRDefault="00F34AEC" w:rsidP="00F34AEC">
      <w:pPr>
        <w:pStyle w:val="Heading2"/>
      </w:pPr>
      <w:r>
        <w:t>(a) Are you a consultant acting on behalf of an Applicant?</w:t>
      </w:r>
    </w:p>
    <w:p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Yes</w:t>
      </w:r>
    </w:p>
    <w:p w:rsidR="00F34AEC" w:rsidRPr="00753C44" w:rsidRDefault="00F53792" w:rsidP="00F34AEC">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5B57E8">
        <w:rPr>
          <w:szCs w:val="20"/>
        </w:rPr>
      </w:r>
      <w:r w:rsidR="005B57E8">
        <w:rPr>
          <w:szCs w:val="20"/>
        </w:rPr>
        <w:fldChar w:fldCharType="separate"/>
      </w:r>
      <w:r>
        <w:rPr>
          <w:szCs w:val="20"/>
        </w:rPr>
        <w:fldChar w:fldCharType="end"/>
      </w:r>
      <w:bookmarkEnd w:id="2"/>
      <w:r w:rsidR="00F34AEC">
        <w:rPr>
          <w:szCs w:val="20"/>
        </w:rPr>
        <w:t xml:space="preserve"> No</w:t>
      </w:r>
      <w:r w:rsidR="00352047">
        <w:rPr>
          <w:szCs w:val="20"/>
        </w:rPr>
        <w:t xml:space="preserve"> </w:t>
      </w:r>
    </w:p>
    <w:p w:rsidR="00F34AEC" w:rsidRDefault="00F34AEC" w:rsidP="00C171FB"/>
    <w:p w:rsidR="00F34AEC" w:rsidRPr="002F55EF" w:rsidRDefault="00F34AEC" w:rsidP="002F55EF">
      <w:pPr>
        <w:ind w:firstLine="360"/>
        <w:rPr>
          <w:b/>
        </w:rPr>
      </w:pPr>
      <w:r w:rsidRPr="002F55EF">
        <w:rPr>
          <w:b/>
        </w:rPr>
        <w:t>(b) If yes, what is the Applicant(s) name that you are acting on behalf of?</w:t>
      </w:r>
    </w:p>
    <w:p w:rsidR="00F34AEC" w:rsidRPr="00CB12EC" w:rsidRDefault="00F34AEC" w:rsidP="00F34AEC">
      <w:pPr>
        <w:ind w:left="284"/>
        <w:rPr>
          <w:noProof/>
        </w:rPr>
      </w:pPr>
      <w:r>
        <w:rPr>
          <w:noProof/>
        </w:rPr>
        <w:t>Insert relevant Applicant(s) name here.</w:t>
      </w:r>
    </w:p>
    <w:p w:rsidR="00F34AEC" w:rsidRPr="00C171FB" w:rsidRDefault="00F34AEC"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Yes</w:t>
      </w:r>
    </w:p>
    <w:p w:rsidR="00A6491A" w:rsidRPr="00753C44" w:rsidRDefault="00F5379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Pr="00753C44" w:rsidRDefault="00A6491A" w:rsidP="00F53792">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sidR="00F53792">
        <w:rPr>
          <w:szCs w:val="20"/>
        </w:rPr>
        <w:t xml:space="preserve"> Yes</w:t>
      </w:r>
      <w:r w:rsidRPr="00753C44">
        <w:rPr>
          <w:szCs w:val="20"/>
        </w:rPr>
        <w:fldChar w:fldCharType="begin">
          <w:ffData>
            <w:name w:val=""/>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9056C5" w:rsidRDefault="00DE06B6" w:rsidP="00A6491A">
      <w:pPr>
        <w:ind w:left="284"/>
      </w:pPr>
      <w:r>
        <w:t xml:space="preserve">Tumour testing </w:t>
      </w:r>
      <w:r w:rsidR="000C5B49">
        <w:t>to detect somatic BRCA1</w:t>
      </w:r>
      <w:r w:rsidR="00FD7385">
        <w:t xml:space="preserve"> </w:t>
      </w:r>
      <w:r w:rsidR="000C5B49">
        <w:t>or BRCA2 gene mutations</w:t>
      </w:r>
      <w:r w:rsidR="00A7532C">
        <w:t>,</w:t>
      </w:r>
      <w:r w:rsidR="00407FE0">
        <w:t xml:space="preserve"> in patients with platinum-</w:t>
      </w:r>
      <w:r w:rsidR="000C5B49">
        <w:t>sensitive</w:t>
      </w:r>
      <w:r w:rsidR="00407FE0">
        <w:t>, relapsed</w:t>
      </w:r>
      <w:r w:rsidR="000C5B49">
        <w:t xml:space="preserve"> </w:t>
      </w:r>
      <w:r w:rsidR="00A7532C">
        <w:t xml:space="preserve">high grade serous </w:t>
      </w:r>
      <w:r w:rsidR="00FD7385">
        <w:t>ovarian cancer (HGSOC)</w:t>
      </w:r>
      <w:r w:rsidR="00A7532C">
        <w:t xml:space="preserve">, to determine eligibility for PBS </w:t>
      </w:r>
      <w:proofErr w:type="spellStart"/>
      <w:r w:rsidR="00A7532C">
        <w:t>olaparib</w:t>
      </w:r>
      <w:proofErr w:type="spellEnd"/>
      <w:r w:rsidR="00A7532C">
        <w:t>.</w:t>
      </w:r>
      <w:r w:rsidR="000C5B49">
        <w:t xml:space="preserve"> </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7F3402" w:rsidRDefault="006266B6" w:rsidP="000A44FB">
      <w:pPr>
        <w:ind w:left="360"/>
      </w:pPr>
      <w:r>
        <w:t xml:space="preserve">Ovarian </w:t>
      </w:r>
      <w:r w:rsidR="007F3402">
        <w:t>cancer is the eighth most commonly diagnosed type of cancer for women in Australia, with an estimated 1613 new cases in 2018.</w:t>
      </w:r>
      <w:r w:rsidR="007F3402">
        <w:rPr>
          <w:vertAlign w:val="superscript"/>
        </w:rPr>
        <w:t>1</w:t>
      </w:r>
      <w:r w:rsidR="007F3402">
        <w:t xml:space="preserve"> </w:t>
      </w:r>
      <w:proofErr w:type="gramStart"/>
      <w:r w:rsidR="007F3402">
        <w:t>The</w:t>
      </w:r>
      <w:proofErr w:type="gramEnd"/>
      <w:r w:rsidR="007F3402">
        <w:t xml:space="preserve"> 5-year relative survival for women with ovarian cancer in Australia is low at 44.4%.</w:t>
      </w:r>
      <w:r w:rsidR="007F3402">
        <w:rPr>
          <w:vertAlign w:val="superscript"/>
        </w:rPr>
        <w:t>1</w:t>
      </w:r>
      <w:r w:rsidR="00B34911">
        <w:t xml:space="preserve"> </w:t>
      </w:r>
      <w:r w:rsidR="007F3402">
        <w:t xml:space="preserve">The most common and most aggressive histological subtype is </w:t>
      </w:r>
      <w:r>
        <w:t xml:space="preserve">high-grade serous ovarian cancer (HGSOC). Patients with fallopian tube or primary peritoneal cancer have similar serous features and are usually treated as for ovarian cancer. </w:t>
      </w:r>
      <w:r w:rsidR="007F3402">
        <w:t>HGSOC is difficult to diagnose in its early stages as there are no effective tests for early detection, and symptoms tend to be vague and non-specific (e.g. bloating, fatigue and ab</w:t>
      </w:r>
      <w:r w:rsidR="000A44FB">
        <w:t xml:space="preserve">dominal pain) so </w:t>
      </w:r>
      <w:r w:rsidR="00B34911">
        <w:t xml:space="preserve">most </w:t>
      </w:r>
      <w:r w:rsidR="007F3402">
        <w:t>women are diagnosed when their disea</w:t>
      </w:r>
      <w:r>
        <w:t xml:space="preserve">se is advanced and widespread. </w:t>
      </w:r>
      <w:r w:rsidR="007F3402">
        <w:t>Standard first line trea</w:t>
      </w:r>
      <w:r w:rsidR="00B34911">
        <w:t>tment of HGSOC</w:t>
      </w:r>
      <w:r w:rsidR="007F3402">
        <w:t xml:space="preserve"> is platinum-based chemotherapy.</w:t>
      </w:r>
      <w:r w:rsidR="000A44FB">
        <w:rPr>
          <w:vertAlign w:val="superscript"/>
        </w:rPr>
        <w:t>2</w:t>
      </w:r>
      <w:r w:rsidR="007F3402">
        <w:rPr>
          <w:vertAlign w:val="superscript"/>
        </w:rPr>
        <w:t xml:space="preserve"> </w:t>
      </w:r>
      <w:r w:rsidR="007F3402">
        <w:t>O</w:t>
      </w:r>
      <w:r w:rsidR="000A44FB">
        <w:t>varian cancer</w:t>
      </w:r>
      <w:r w:rsidR="007F3402">
        <w:t xml:space="preserve"> is a highly chemo-sensitive tumour</w:t>
      </w:r>
      <w:r w:rsidR="00B34911">
        <w:t xml:space="preserve"> type</w:t>
      </w:r>
      <w:r w:rsidR="007F3402">
        <w:t xml:space="preserve">, but more than 70% of women with advanced disease initially responding to first-line chemotherapy will </w:t>
      </w:r>
      <w:r w:rsidR="000A44FB">
        <w:t xml:space="preserve">eventually </w:t>
      </w:r>
      <w:r w:rsidR="007F3402">
        <w:t>relapse and require re-treatment</w:t>
      </w:r>
      <w:r w:rsidR="000A44FB">
        <w:t xml:space="preserve">. </w:t>
      </w:r>
      <w:r w:rsidR="007F3402">
        <w:t>BRCA1 and BRCA2 mutational loss of function is a primary driver of ovarian cancer.</w:t>
      </w:r>
      <w:r w:rsidR="000A44FB">
        <w:t xml:space="preserve">  The HGSOC </w:t>
      </w:r>
      <w:r w:rsidR="007F3402">
        <w:t xml:space="preserve">population </w:t>
      </w:r>
      <w:r w:rsidR="005763C8">
        <w:t xml:space="preserve">who have platinum sensitive, relapsed disease </w:t>
      </w:r>
      <w:r w:rsidR="007F3402">
        <w:t xml:space="preserve">is enriched for patients with BRCA1/2 germline and somatic mutations, in comparison to all ovarian cancer patients.  </w:t>
      </w:r>
    </w:p>
    <w:p w:rsidR="007F3402" w:rsidRPr="00F378AA" w:rsidRDefault="007F3402" w:rsidP="007F3402">
      <w:pPr>
        <w:ind w:left="360"/>
        <w:rPr>
          <w:sz w:val="16"/>
          <w:szCs w:val="16"/>
        </w:rPr>
      </w:pPr>
      <w:proofErr w:type="gramStart"/>
      <w:r w:rsidRPr="00F378AA">
        <w:rPr>
          <w:sz w:val="16"/>
          <w:szCs w:val="16"/>
          <w:vertAlign w:val="superscript"/>
        </w:rPr>
        <w:t>1</w:t>
      </w:r>
      <w:r w:rsidRPr="00F378AA">
        <w:rPr>
          <w:sz w:val="16"/>
          <w:szCs w:val="16"/>
        </w:rPr>
        <w:t>Australian Institute of Health and Welfare Cancer in Australia 2017.</w:t>
      </w:r>
      <w:proofErr w:type="gramEnd"/>
    </w:p>
    <w:p w:rsidR="007F3402" w:rsidRPr="00F378AA" w:rsidRDefault="00B34911" w:rsidP="007F3402">
      <w:pPr>
        <w:ind w:left="360"/>
        <w:rPr>
          <w:sz w:val="16"/>
          <w:szCs w:val="16"/>
        </w:rPr>
      </w:pPr>
      <w:proofErr w:type="gramStart"/>
      <w:r>
        <w:rPr>
          <w:sz w:val="16"/>
          <w:szCs w:val="16"/>
          <w:vertAlign w:val="superscript"/>
        </w:rPr>
        <w:t>2</w:t>
      </w:r>
      <w:r w:rsidR="007F3402" w:rsidRPr="00F378AA">
        <w:rPr>
          <w:sz w:val="16"/>
          <w:szCs w:val="16"/>
        </w:rPr>
        <w:t>Cancer Australia 2014 First line chemotherapy for the treatment of women with epithelial ovarian cancer.</w:t>
      </w:r>
      <w:proofErr w:type="gramEnd"/>
      <w:r w:rsidR="007F3402" w:rsidRPr="00F378AA">
        <w:rPr>
          <w:sz w:val="16"/>
          <w:szCs w:val="16"/>
        </w:rPr>
        <w:t xml:space="preserve"> (</w:t>
      </w:r>
      <w:hyperlink r:id="rId12" w:tooltip="Cancer Australia website link" w:history="1">
        <w:r w:rsidR="007F3402" w:rsidRPr="00F378AA">
          <w:rPr>
            <w:rStyle w:val="Hyperlink"/>
            <w:sz w:val="16"/>
            <w:szCs w:val="16"/>
          </w:rPr>
          <w:t>https://canceraustralia.gov.au/publications-and-resources/clinical-practice-guidelines/first-line-chemotherapy-treatment-women-epithelial-ovarian-cancer</w:t>
        </w:r>
      </w:hyperlink>
      <w:r w:rsidR="007F3402" w:rsidRPr="00F378AA">
        <w:rPr>
          <w:sz w:val="16"/>
          <w:szCs w:val="16"/>
        </w:rPr>
        <w:t>)</w:t>
      </w:r>
    </w:p>
    <w:p w:rsidR="0081511E" w:rsidRDefault="000955E7" w:rsidP="00EF7FC9">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7035D3" w:rsidRDefault="00045918" w:rsidP="007035D3">
      <w:pPr>
        <w:ind w:left="426"/>
      </w:pPr>
      <w:r>
        <w:t xml:space="preserve">Germline BRCA1/2 testing to determine eligibility for </w:t>
      </w:r>
      <w:proofErr w:type="spellStart"/>
      <w:r>
        <w:t>olaparib</w:t>
      </w:r>
      <w:proofErr w:type="spellEnd"/>
      <w:r>
        <w:t xml:space="preserve"> maintenance therapy in patients with platinum sensitive, relapsed high grade serous ovarian cancer (HGSOC) has </w:t>
      </w:r>
      <w:r w:rsidR="00A66D4A">
        <w:t>been listed on the MBS (Item 73295</w:t>
      </w:r>
      <w:r>
        <w:t>) and PBS (Items 11034R and 11050N) since 1 February 2017 (refer co-dependent MSAC/PBAC Application 1380). Subsequently germline gene mutation testing, including BRCA1/2 testing from the time of diagnosis in ovarian cancer patients at &gt;10% risk o</w:t>
      </w:r>
      <w:r w:rsidR="00A66D4A">
        <w:t xml:space="preserve">f having a pathogenic mutation </w:t>
      </w:r>
      <w:r>
        <w:t>became av</w:t>
      </w:r>
      <w:r w:rsidR="00DD11C0">
        <w:t>ailable on the MBS from November</w:t>
      </w:r>
      <w:r>
        <w:t xml:space="preserve"> 2017 (Item 73296).  </w:t>
      </w:r>
      <w:r w:rsidR="007035D3">
        <w:t>Significant changes to the local and international tumour BRCA1/2 mutation testing environment and additional outcomes data (published and unpublished) warrants reconsideration of tumour testing for patients with somatic BRCA1/2 mutations at this time.</w:t>
      </w:r>
    </w:p>
    <w:p w:rsidR="00045918" w:rsidRPr="008311DD" w:rsidRDefault="00045918" w:rsidP="008311DD">
      <w:pPr>
        <w:ind w:left="426"/>
        <w:rPr>
          <w:i/>
        </w:rPr>
      </w:pPr>
      <w:r>
        <w:t xml:space="preserve">Tumour testing to detect somatic BRCA1/2 gene mutations is proposed to be </w:t>
      </w:r>
      <w:r w:rsidRPr="00DE7576">
        <w:rPr>
          <w:b/>
        </w:rPr>
        <w:t>after</w:t>
      </w:r>
      <w:r>
        <w:t xml:space="preserve"> g</w:t>
      </w:r>
      <w:r w:rsidR="008311DD">
        <w:t>ermline BRCA1/2 testing</w:t>
      </w:r>
      <w:r w:rsidR="007035D3">
        <w:t>.</w:t>
      </w:r>
      <w:r>
        <w:t xml:space="preserve">  There a</w:t>
      </w:r>
      <w:r w:rsidR="008311DD">
        <w:t xml:space="preserve">re two populations </w:t>
      </w:r>
      <w:r>
        <w:t xml:space="preserve">as follows: </w:t>
      </w:r>
    </w:p>
    <w:p w:rsidR="00045918" w:rsidRDefault="00045918" w:rsidP="00045918">
      <w:pPr>
        <w:pStyle w:val="ListParagraph"/>
        <w:numPr>
          <w:ilvl w:val="0"/>
          <w:numId w:val="41"/>
        </w:numPr>
      </w:pPr>
      <w:r>
        <w:t xml:space="preserve">Patients with platinum-sensitive, relapsed HGSOC who </w:t>
      </w:r>
      <w:r w:rsidR="000F49A1">
        <w:t>were germline BRCA1/2 wild-type</w:t>
      </w:r>
      <w:r w:rsidR="008311DD">
        <w:t xml:space="preserve"> </w:t>
      </w:r>
      <w:r>
        <w:t xml:space="preserve">when first tested under MBS Item 73295; OR </w:t>
      </w:r>
    </w:p>
    <w:p w:rsidR="00045918" w:rsidRDefault="00045918" w:rsidP="00045918">
      <w:pPr>
        <w:pStyle w:val="ListParagraph"/>
        <w:numPr>
          <w:ilvl w:val="0"/>
          <w:numId w:val="41"/>
        </w:numPr>
      </w:pPr>
      <w:bookmarkStart w:id="3" w:name="_Hlk508016127"/>
      <w:r>
        <w:t>Patients with HGSOC who received germline BRCA1/2 testing under item 73296 and were found to</w:t>
      </w:r>
      <w:r w:rsidR="000F49A1">
        <w:t xml:space="preserve"> be g</w:t>
      </w:r>
      <w:r w:rsidR="000519ED">
        <w:t xml:space="preserve">ermline </w:t>
      </w:r>
      <w:r w:rsidR="000F49A1">
        <w:t>BRCA1/2 mutation wild-type</w:t>
      </w:r>
      <w:r w:rsidR="00BF4D2C">
        <w:t xml:space="preserve">, </w:t>
      </w:r>
      <w:r w:rsidR="0024332D">
        <w:t xml:space="preserve">who </w:t>
      </w:r>
      <w:r w:rsidR="00295C85">
        <w:t xml:space="preserve">are </w:t>
      </w:r>
      <w:r w:rsidR="00BF4D2C">
        <w:t>platinum sensiti</w:t>
      </w:r>
      <w:r w:rsidR="0024332D">
        <w:t xml:space="preserve">ve and </w:t>
      </w:r>
      <w:r w:rsidR="008B26F3">
        <w:t xml:space="preserve">relapsed </w:t>
      </w:r>
      <w:r w:rsidR="0024332D">
        <w:t xml:space="preserve">after </w:t>
      </w:r>
      <w:r>
        <w:t>platinum chemotherapy.</w:t>
      </w:r>
    </w:p>
    <w:p w:rsidR="00DE38F3" w:rsidRDefault="0024332D" w:rsidP="00045918">
      <w:pPr>
        <w:ind w:left="357"/>
        <w:rPr>
          <w:sz w:val="16"/>
          <w:szCs w:val="16"/>
        </w:rPr>
      </w:pPr>
      <w:r>
        <w:t xml:space="preserve">HGSOC patients who have </w:t>
      </w:r>
      <w:r w:rsidR="00045918">
        <w:t xml:space="preserve">no germline BRCA1/2 gene mutation but have a somatic BRCA1/2 gene mutation are not currently eligible for </w:t>
      </w:r>
      <w:proofErr w:type="spellStart"/>
      <w:r w:rsidR="00045918">
        <w:t>olaparib</w:t>
      </w:r>
      <w:proofErr w:type="spellEnd"/>
      <w:r w:rsidR="00045918">
        <w:t xml:space="preserve"> treatment.  It is proposed that these patients should be eligible for </w:t>
      </w:r>
      <w:proofErr w:type="spellStart"/>
      <w:r w:rsidR="00045918">
        <w:t>olaparib</w:t>
      </w:r>
      <w:proofErr w:type="spellEnd"/>
      <w:r w:rsidR="00045918">
        <w:t xml:space="preserve"> treatm</w:t>
      </w:r>
      <w:r w:rsidR="00696227">
        <w:t>ent</w:t>
      </w:r>
      <w:r>
        <w:t xml:space="preserve"> after completion of two lines of platinum chemotherapy and a response (complete or partial)</w:t>
      </w:r>
      <w:r w:rsidR="006A6A21">
        <w:t xml:space="preserve"> </w:t>
      </w:r>
      <w:r w:rsidR="002B5524">
        <w:t>after a platinum free interval of 6 months or greater.</w:t>
      </w:r>
      <w:r w:rsidR="00696227">
        <w:t xml:space="preserve">  Patients who test wild</w:t>
      </w:r>
      <w:r w:rsidR="004700ED">
        <w:t>-type</w:t>
      </w:r>
      <w:r w:rsidR="00045918">
        <w:t xml:space="preserve"> for somatic BRCA1/2 gene mutations would receive </w:t>
      </w:r>
      <w:r w:rsidR="007035D3">
        <w:t>“watch and wait” or no active anticancer</w:t>
      </w:r>
      <w:r w:rsidR="00045918">
        <w:t xml:space="preserve"> treatment.</w:t>
      </w:r>
    </w:p>
    <w:bookmarkEnd w:id="3"/>
    <w:p w:rsidR="00A7532C" w:rsidRPr="00792903" w:rsidRDefault="00A7532C" w:rsidP="00792903">
      <w:pPr>
        <w:ind w:left="357"/>
        <w:rPr>
          <w:sz w:val="16"/>
          <w:szCs w:val="16"/>
        </w:rPr>
      </w:pPr>
    </w:p>
    <w:p w:rsidR="00D11EB1" w:rsidRPr="0011036E" w:rsidRDefault="00DE38F3"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lastRenderedPageBreak/>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D27E1F" w:rsidP="00A6491A">
      <w:pPr>
        <w:spacing w:before="0" w:after="0"/>
        <w:ind w:left="284"/>
        <w:rPr>
          <w:szCs w:val="20"/>
        </w:rPr>
      </w:pPr>
      <w:r>
        <w:rPr>
          <w:szCs w:val="20"/>
        </w:rPr>
        <w:fldChar w:fldCharType="begin">
          <w:ffData>
            <w:name w:val="Check1"/>
            <w:enabled/>
            <w:calcOnExit w:val="0"/>
            <w:checkBox>
              <w:sizeAuto/>
              <w:default w:val="1"/>
            </w:checkBox>
          </w:ffData>
        </w:fldChar>
      </w:r>
      <w:bookmarkStart w:id="4" w:name="Check1"/>
      <w:r>
        <w:rPr>
          <w:szCs w:val="20"/>
        </w:rPr>
        <w:instrText xml:space="preserve"> FORMCHECKBOX </w:instrText>
      </w:r>
      <w:r w:rsidR="005B57E8">
        <w:rPr>
          <w:szCs w:val="20"/>
        </w:rPr>
      </w:r>
      <w:r w:rsidR="005B57E8">
        <w:rPr>
          <w:szCs w:val="20"/>
        </w:rPr>
        <w:fldChar w:fldCharType="separate"/>
      </w:r>
      <w:r>
        <w:rPr>
          <w:szCs w:val="20"/>
        </w:rPr>
        <w:fldChar w:fldCharType="end"/>
      </w:r>
      <w:bookmarkEnd w:id="4"/>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Default="00D27E1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D27E1F" w:rsidRDefault="00D27E1F" w:rsidP="00A6491A">
      <w:pPr>
        <w:spacing w:before="0" w:after="0"/>
        <w:ind w:left="284"/>
        <w:rPr>
          <w:szCs w:val="20"/>
        </w:rPr>
      </w:pPr>
    </w:p>
    <w:p w:rsidR="005C683E" w:rsidRDefault="00944530" w:rsidP="00A6491A">
      <w:pPr>
        <w:spacing w:before="0" w:after="0"/>
        <w:ind w:left="284"/>
        <w:rPr>
          <w:szCs w:val="20"/>
        </w:rPr>
      </w:pPr>
      <w:r>
        <w:rPr>
          <w:szCs w:val="20"/>
        </w:rPr>
        <w:t>A</w:t>
      </w:r>
      <w:r w:rsidR="005C683E">
        <w:rPr>
          <w:szCs w:val="20"/>
        </w:rPr>
        <w:t xml:space="preserve"> new MBS item may be required.  A number of </w:t>
      </w:r>
      <w:r>
        <w:rPr>
          <w:szCs w:val="20"/>
        </w:rPr>
        <w:t xml:space="preserve">existing </w:t>
      </w:r>
      <w:r w:rsidR="005C683E">
        <w:rPr>
          <w:szCs w:val="20"/>
        </w:rPr>
        <w:t xml:space="preserve">MBS items </w:t>
      </w:r>
      <w:proofErr w:type="gramStart"/>
      <w:r w:rsidR="00FD7385">
        <w:rPr>
          <w:szCs w:val="20"/>
        </w:rPr>
        <w:t>are</w:t>
      </w:r>
      <w:proofErr w:type="gramEnd"/>
      <w:r w:rsidR="00FD7385">
        <w:rPr>
          <w:szCs w:val="20"/>
        </w:rPr>
        <w:t xml:space="preserve"> relevant, including the following:</w:t>
      </w:r>
    </w:p>
    <w:p w:rsidR="00944530" w:rsidRDefault="00944530" w:rsidP="00A6491A">
      <w:pPr>
        <w:spacing w:before="0" w:after="0"/>
        <w:ind w:left="284"/>
        <w:rPr>
          <w:szCs w:val="20"/>
        </w:rPr>
      </w:pPr>
    </w:p>
    <w:p w:rsidR="00FD7385" w:rsidRPr="00EF416B" w:rsidRDefault="00FD7385" w:rsidP="00EF416B">
      <w:pPr>
        <w:pStyle w:val="ListParagraph"/>
        <w:numPr>
          <w:ilvl w:val="0"/>
          <w:numId w:val="39"/>
        </w:numPr>
        <w:spacing w:before="0" w:after="0"/>
        <w:rPr>
          <w:szCs w:val="20"/>
        </w:rPr>
      </w:pPr>
      <w:r w:rsidRPr="00EF416B">
        <w:rPr>
          <w:szCs w:val="20"/>
        </w:rPr>
        <w:t>MBS Item 73295 Detection of germline BRCA1/2 gene mutations in patients with platinum sensitive HGSOC</w:t>
      </w:r>
    </w:p>
    <w:p w:rsidR="00922A7D" w:rsidRPr="00EF416B" w:rsidRDefault="00922A7D" w:rsidP="00EF416B">
      <w:pPr>
        <w:pStyle w:val="ListParagraph"/>
        <w:numPr>
          <w:ilvl w:val="0"/>
          <w:numId w:val="39"/>
        </w:numPr>
        <w:spacing w:before="0" w:after="0"/>
        <w:rPr>
          <w:szCs w:val="20"/>
        </w:rPr>
      </w:pPr>
      <w:r w:rsidRPr="00EF416B">
        <w:rPr>
          <w:szCs w:val="20"/>
        </w:rPr>
        <w:t xml:space="preserve">MBS Item 73296 Characterisation of germline gene mutations including BRCA1/2, STK11, PTEN, CDH1, PALB2 or TP53 in a patient with breast or ovarian cancer </w:t>
      </w:r>
      <w:r w:rsidR="00430A75" w:rsidRPr="00EF416B">
        <w:rPr>
          <w:szCs w:val="20"/>
        </w:rPr>
        <w:t>at &gt;10% risk of having one or more of these mutations.</w:t>
      </w:r>
    </w:p>
    <w:p w:rsidR="00430A75" w:rsidRPr="00EF416B" w:rsidRDefault="00430A75" w:rsidP="00EF416B">
      <w:pPr>
        <w:pStyle w:val="ListParagraph"/>
        <w:numPr>
          <w:ilvl w:val="0"/>
          <w:numId w:val="39"/>
        </w:numPr>
        <w:spacing w:before="0" w:after="0"/>
        <w:rPr>
          <w:szCs w:val="20"/>
        </w:rPr>
      </w:pPr>
      <w:r w:rsidRPr="00EF416B">
        <w:rPr>
          <w:szCs w:val="20"/>
        </w:rPr>
        <w:t xml:space="preserve">MBS Item 73297 Characterisation of germline gene mutations in a biological relative of a patient with one or more </w:t>
      </w:r>
      <w:r w:rsidR="00EF416B" w:rsidRPr="00EF416B">
        <w:rPr>
          <w:szCs w:val="20"/>
        </w:rPr>
        <w:t xml:space="preserve">of the </w:t>
      </w:r>
      <w:r w:rsidRPr="00EF416B">
        <w:rPr>
          <w:szCs w:val="20"/>
        </w:rPr>
        <w:t xml:space="preserve">gene mutations </w:t>
      </w:r>
      <w:r w:rsidR="00EF416B" w:rsidRPr="00EF416B">
        <w:rPr>
          <w:szCs w:val="20"/>
        </w:rPr>
        <w:t>in Item 73296.</w:t>
      </w:r>
    </w:p>
    <w:p w:rsidR="001609A1" w:rsidRDefault="001609A1" w:rsidP="00A6491A">
      <w:pPr>
        <w:spacing w:before="0" w:after="0"/>
        <w:ind w:left="284"/>
        <w:rPr>
          <w:szCs w:val="20"/>
        </w:rPr>
      </w:pPr>
    </w:p>
    <w:p w:rsidR="00944530" w:rsidRDefault="005869C8" w:rsidP="00A6491A">
      <w:pPr>
        <w:spacing w:before="0" w:after="0"/>
        <w:ind w:left="284"/>
        <w:rPr>
          <w:szCs w:val="20"/>
        </w:rPr>
      </w:pPr>
      <w:r>
        <w:rPr>
          <w:szCs w:val="20"/>
        </w:rPr>
        <w:t xml:space="preserve">It is likely that </w:t>
      </w:r>
      <w:r w:rsidR="00A40E09">
        <w:rPr>
          <w:szCs w:val="20"/>
        </w:rPr>
        <w:t xml:space="preserve">there is overlap between the </w:t>
      </w:r>
      <w:r w:rsidR="00AB0035">
        <w:rPr>
          <w:szCs w:val="20"/>
        </w:rPr>
        <w:t xml:space="preserve">ovarian cancer </w:t>
      </w:r>
      <w:r w:rsidR="00A40E09">
        <w:rPr>
          <w:szCs w:val="20"/>
        </w:rPr>
        <w:t xml:space="preserve">population who would qualify for </w:t>
      </w:r>
      <w:r w:rsidR="00AB0035">
        <w:rPr>
          <w:szCs w:val="20"/>
        </w:rPr>
        <w:t xml:space="preserve">germline </w:t>
      </w:r>
      <w:r w:rsidR="00A40E09">
        <w:rPr>
          <w:szCs w:val="20"/>
        </w:rPr>
        <w:t xml:space="preserve">testing at diagnosis </w:t>
      </w:r>
      <w:r w:rsidR="00944530">
        <w:rPr>
          <w:szCs w:val="20"/>
        </w:rPr>
        <w:t xml:space="preserve">with </w:t>
      </w:r>
      <w:r w:rsidR="00A40E09">
        <w:rPr>
          <w:szCs w:val="20"/>
        </w:rPr>
        <w:t xml:space="preserve">Item 73296 and patients with HGSOC who demonstrate platinum sensitivity </w:t>
      </w:r>
      <w:r w:rsidR="0006512F">
        <w:rPr>
          <w:szCs w:val="20"/>
        </w:rPr>
        <w:t xml:space="preserve">but eventually </w:t>
      </w:r>
      <w:r w:rsidR="00A40E09">
        <w:rPr>
          <w:szCs w:val="20"/>
        </w:rPr>
        <w:t>relapse</w:t>
      </w:r>
      <w:r w:rsidR="00AB0035">
        <w:rPr>
          <w:szCs w:val="20"/>
        </w:rPr>
        <w:t>.  G</w:t>
      </w:r>
      <w:r w:rsidR="002477D2">
        <w:rPr>
          <w:szCs w:val="20"/>
        </w:rPr>
        <w:t xml:space="preserve">ermline BRCA1/2 </w:t>
      </w:r>
      <w:r>
        <w:rPr>
          <w:szCs w:val="20"/>
        </w:rPr>
        <w:t xml:space="preserve">testing under </w:t>
      </w:r>
      <w:r w:rsidR="00D12729">
        <w:rPr>
          <w:szCs w:val="20"/>
        </w:rPr>
        <w:t>I</w:t>
      </w:r>
      <w:r>
        <w:rPr>
          <w:szCs w:val="20"/>
        </w:rPr>
        <w:t xml:space="preserve">tem </w:t>
      </w:r>
      <w:r w:rsidR="002477D2">
        <w:rPr>
          <w:szCs w:val="20"/>
        </w:rPr>
        <w:t xml:space="preserve">73295 may be redundant if patients have already tested </w:t>
      </w:r>
      <w:r w:rsidR="00A40E09">
        <w:rPr>
          <w:szCs w:val="20"/>
        </w:rPr>
        <w:t xml:space="preserve">positive </w:t>
      </w:r>
      <w:r w:rsidR="002477D2">
        <w:rPr>
          <w:szCs w:val="20"/>
        </w:rPr>
        <w:t xml:space="preserve">for germline BRCA1/2 at diagnosis.  </w:t>
      </w:r>
    </w:p>
    <w:p w:rsidR="00EF416B" w:rsidRPr="00753C44" w:rsidRDefault="00EF416B" w:rsidP="00A6491A">
      <w:pPr>
        <w:spacing w:before="0" w:after="0"/>
        <w:ind w:left="284"/>
        <w:rPr>
          <w:szCs w:val="20"/>
        </w:rPr>
      </w:pPr>
      <w:r>
        <w:rPr>
          <w:szCs w:val="20"/>
        </w:rPr>
        <w:t>The above germline testing methods are routinely performed using DNA extracted from blood samples, whereas the current Application requests a test of the tumour</w:t>
      </w:r>
      <w:r w:rsidR="0006512F">
        <w:rPr>
          <w:szCs w:val="20"/>
        </w:rPr>
        <w:t xml:space="preserve"> tissue</w:t>
      </w:r>
      <w:r>
        <w:rPr>
          <w:szCs w:val="20"/>
        </w:rPr>
        <w:t xml:space="preserve"> </w:t>
      </w:r>
      <w:r w:rsidR="005869C8">
        <w:rPr>
          <w:szCs w:val="20"/>
        </w:rPr>
        <w:t xml:space="preserve">itself </w:t>
      </w:r>
      <w:r>
        <w:rPr>
          <w:szCs w:val="20"/>
        </w:rPr>
        <w:t xml:space="preserve">to identify somatic </w:t>
      </w:r>
      <w:r w:rsidR="004700ED">
        <w:rPr>
          <w:szCs w:val="20"/>
        </w:rPr>
        <w:t xml:space="preserve">only </w:t>
      </w:r>
      <w:r w:rsidR="00AB0035">
        <w:rPr>
          <w:szCs w:val="20"/>
        </w:rPr>
        <w:t xml:space="preserve">BRCA1/2 gene </w:t>
      </w:r>
      <w:r>
        <w:rPr>
          <w:szCs w:val="20"/>
        </w:rPr>
        <w:t>mutations</w:t>
      </w:r>
      <w:r w:rsidR="00AB0035">
        <w:rPr>
          <w:szCs w:val="20"/>
        </w:rPr>
        <w:t xml:space="preserve"> not currently being detected</w:t>
      </w:r>
      <w:r>
        <w:rPr>
          <w:szCs w:val="20"/>
        </w:rPr>
        <w:t>.</w:t>
      </w:r>
      <w:r w:rsidR="005869C8">
        <w:rPr>
          <w:szCs w:val="20"/>
        </w:rPr>
        <w:t xml:space="preserve">  The current Application proposes to broaden the population being tested </w:t>
      </w:r>
      <w:r w:rsidR="001609A1">
        <w:rPr>
          <w:szCs w:val="20"/>
        </w:rPr>
        <w:t xml:space="preserve">(germline </w:t>
      </w:r>
      <w:r w:rsidR="00AB0035">
        <w:rPr>
          <w:szCs w:val="20"/>
        </w:rPr>
        <w:t xml:space="preserve">BRCA1/2 </w:t>
      </w:r>
      <w:r w:rsidR="001609A1">
        <w:rPr>
          <w:szCs w:val="20"/>
        </w:rPr>
        <w:t xml:space="preserve">testing then tumour </w:t>
      </w:r>
      <w:r w:rsidR="00944530">
        <w:rPr>
          <w:szCs w:val="20"/>
        </w:rPr>
        <w:t>BRCA1/2</w:t>
      </w:r>
      <w:r w:rsidR="0006512F">
        <w:rPr>
          <w:szCs w:val="20"/>
        </w:rPr>
        <w:t xml:space="preserve"> </w:t>
      </w:r>
      <w:r w:rsidR="001609A1">
        <w:rPr>
          <w:szCs w:val="20"/>
        </w:rPr>
        <w:t xml:space="preserve">testing on germline </w:t>
      </w:r>
      <w:r w:rsidR="0006512F">
        <w:rPr>
          <w:szCs w:val="20"/>
        </w:rPr>
        <w:t xml:space="preserve">BRCA1/2 </w:t>
      </w:r>
      <w:r w:rsidR="001609A1">
        <w:rPr>
          <w:szCs w:val="20"/>
        </w:rPr>
        <w:t>wild</w:t>
      </w:r>
      <w:r w:rsidR="0006512F">
        <w:rPr>
          <w:szCs w:val="20"/>
        </w:rPr>
        <w:t>-</w:t>
      </w:r>
      <w:r w:rsidR="001609A1">
        <w:rPr>
          <w:szCs w:val="20"/>
        </w:rPr>
        <w:t xml:space="preserve">types) and also broaden the </w:t>
      </w:r>
      <w:r w:rsidR="0006512F">
        <w:rPr>
          <w:szCs w:val="20"/>
        </w:rPr>
        <w:t xml:space="preserve">PBS </w:t>
      </w:r>
      <w:r w:rsidR="001609A1">
        <w:rPr>
          <w:szCs w:val="20"/>
        </w:rPr>
        <w:t xml:space="preserve">access to </w:t>
      </w:r>
      <w:proofErr w:type="spellStart"/>
      <w:r w:rsidR="001609A1">
        <w:rPr>
          <w:szCs w:val="20"/>
        </w:rPr>
        <w:t>olaparib</w:t>
      </w:r>
      <w:proofErr w:type="spellEnd"/>
      <w:r w:rsidR="001609A1">
        <w:rPr>
          <w:szCs w:val="20"/>
        </w:rPr>
        <w:t xml:space="preserve"> to include patients with only somatic </w:t>
      </w:r>
      <w:r w:rsidR="0006512F">
        <w:rPr>
          <w:szCs w:val="20"/>
        </w:rPr>
        <w:t xml:space="preserve">BRCA1/2 </w:t>
      </w:r>
      <w:r w:rsidR="001609A1">
        <w:rPr>
          <w:szCs w:val="20"/>
        </w:rPr>
        <w:t>gene mutations</w:t>
      </w:r>
      <w:r w:rsidR="00AB0035">
        <w:rPr>
          <w:szCs w:val="20"/>
        </w:rPr>
        <w:t>.</w:t>
      </w:r>
      <w:r w:rsidR="001609A1">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944530" w:rsidP="00A6491A">
      <w:pPr>
        <w:ind w:left="284"/>
      </w:pPr>
      <w:r>
        <w:t>May n</w:t>
      </w:r>
      <w:r w:rsidR="0006512F">
        <w:t xml:space="preserve">ot </w:t>
      </w:r>
      <w:r>
        <w:t xml:space="preserve">be </w:t>
      </w:r>
      <w:r w:rsidR="009B0A03">
        <w:t>applicable</w:t>
      </w:r>
      <w:r>
        <w:t>, see above b)</w:t>
      </w:r>
      <w:r w:rsidR="00F233CB">
        <w:t>.</w:t>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57E8">
        <w:rPr>
          <w:b/>
          <w:szCs w:val="20"/>
        </w:rPr>
      </w:r>
      <w:r w:rsidR="005B57E8">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B57E8">
        <w:rPr>
          <w:b/>
          <w:szCs w:val="20"/>
        </w:rPr>
      </w:r>
      <w:r w:rsidR="005B57E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5B524F"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5B57E8">
        <w:rPr>
          <w:b/>
          <w:szCs w:val="20"/>
        </w:rPr>
      </w:r>
      <w:r w:rsidR="005B57E8">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B57E8">
        <w:rPr>
          <w:b/>
          <w:szCs w:val="20"/>
        </w:rPr>
      </w:r>
      <w:r w:rsidR="005B57E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407FE0" w:rsidRDefault="006B6390" w:rsidP="00407FE0">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B57E8">
        <w:rPr>
          <w:b/>
          <w:szCs w:val="20"/>
        </w:rPr>
      </w:r>
      <w:r w:rsidR="005B57E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r w:rsidR="005B524F" w:rsidRPr="00407FE0">
        <w:rPr>
          <w:rStyle w:val="Strong"/>
          <w:b w:val="0"/>
        </w:rPr>
        <w:br w:type="page"/>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Yes</w:t>
      </w:r>
    </w:p>
    <w:p w:rsidR="00626365" w:rsidRDefault="005B524F"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0A5B32" w:rsidRPr="000A5B32">
        <w:rPr>
          <w:szCs w:val="20"/>
        </w:rPr>
        <w:t xml:space="preserve"> No</w:t>
      </w:r>
    </w:p>
    <w:p w:rsidR="00626365" w:rsidRPr="00626365" w:rsidRDefault="00F233CB" w:rsidP="00626365">
      <w:pPr>
        <w:spacing w:before="0" w:after="0"/>
        <w:ind w:left="284"/>
        <w:rPr>
          <w:rStyle w:val="Strong"/>
          <w:rFonts w:asciiTheme="minorHAnsi" w:eastAsiaTheme="minorHAnsi" w:hAnsiTheme="minorHAnsi" w:cstheme="minorBidi"/>
          <w:b w:val="0"/>
          <w:szCs w:val="20"/>
        </w:rPr>
      </w:pPr>
      <w:r>
        <w:rPr>
          <w:rStyle w:val="Strong"/>
          <w:rFonts w:asciiTheme="minorHAnsi" w:eastAsiaTheme="minorHAnsi" w:hAnsiTheme="minorHAnsi" w:cstheme="minorBidi"/>
          <w:b w:val="0"/>
          <w:szCs w:val="20"/>
        </w:rPr>
        <w:t>No o</w:t>
      </w:r>
      <w:r w:rsidR="00286500">
        <w:rPr>
          <w:rStyle w:val="Strong"/>
          <w:rFonts w:asciiTheme="minorHAnsi" w:eastAsiaTheme="minorHAnsi" w:hAnsiTheme="minorHAnsi" w:cstheme="minorBidi"/>
          <w:b w:val="0"/>
          <w:szCs w:val="20"/>
        </w:rPr>
        <w:t>ther source of funding for tumour</w:t>
      </w:r>
      <w:r>
        <w:rPr>
          <w:rStyle w:val="Strong"/>
          <w:rFonts w:asciiTheme="minorHAnsi" w:eastAsiaTheme="minorHAnsi" w:hAnsiTheme="minorHAnsi" w:cstheme="minorBidi"/>
          <w:b w:val="0"/>
          <w:szCs w:val="20"/>
        </w:rPr>
        <w:t xml:space="preserve"> </w:t>
      </w:r>
      <w:r w:rsidR="00286500">
        <w:rPr>
          <w:rStyle w:val="Strong"/>
          <w:rFonts w:asciiTheme="minorHAnsi" w:eastAsiaTheme="minorHAnsi" w:hAnsiTheme="minorHAnsi" w:cstheme="minorBidi"/>
          <w:b w:val="0"/>
          <w:szCs w:val="20"/>
        </w:rPr>
        <w:t xml:space="preserve">BRCA1/2 </w:t>
      </w:r>
      <w:r>
        <w:rPr>
          <w:rStyle w:val="Strong"/>
          <w:rFonts w:asciiTheme="minorHAnsi" w:eastAsiaTheme="minorHAnsi" w:hAnsiTheme="minorHAnsi" w:cstheme="minorBidi"/>
          <w:b w:val="0"/>
          <w:szCs w:val="20"/>
        </w:rPr>
        <w:t xml:space="preserve">testing other than the MBS is sought, however in this co-dependent submission public funding </w:t>
      </w:r>
      <w:r w:rsidR="00286500">
        <w:rPr>
          <w:rStyle w:val="Strong"/>
          <w:rFonts w:asciiTheme="minorHAnsi" w:eastAsiaTheme="minorHAnsi" w:hAnsiTheme="minorHAnsi" w:cstheme="minorBidi"/>
          <w:b w:val="0"/>
          <w:szCs w:val="20"/>
        </w:rPr>
        <w:t xml:space="preserve">for PBS access to </w:t>
      </w:r>
      <w:proofErr w:type="spellStart"/>
      <w:r w:rsidR="00286500">
        <w:rPr>
          <w:rStyle w:val="Strong"/>
          <w:rFonts w:asciiTheme="minorHAnsi" w:eastAsiaTheme="minorHAnsi" w:hAnsiTheme="minorHAnsi" w:cstheme="minorBidi"/>
          <w:b w:val="0"/>
          <w:szCs w:val="20"/>
        </w:rPr>
        <w:t>olaparib</w:t>
      </w:r>
      <w:proofErr w:type="spellEnd"/>
      <w:r>
        <w:rPr>
          <w:rStyle w:val="Strong"/>
          <w:rFonts w:asciiTheme="minorHAnsi" w:eastAsiaTheme="minorHAnsi" w:hAnsiTheme="minorHAnsi" w:cstheme="minorBidi"/>
          <w:b w:val="0"/>
          <w:szCs w:val="20"/>
        </w:rPr>
        <w:t xml:space="preserve"> </w:t>
      </w:r>
      <w:r w:rsidR="00286500">
        <w:rPr>
          <w:rStyle w:val="Strong"/>
          <w:rFonts w:asciiTheme="minorHAnsi" w:eastAsiaTheme="minorHAnsi" w:hAnsiTheme="minorHAnsi" w:cstheme="minorBidi"/>
          <w:b w:val="0"/>
          <w:szCs w:val="20"/>
        </w:rPr>
        <w:t xml:space="preserve">in patients with somatic BRCA1/2 gene mutations </w:t>
      </w:r>
      <w:r>
        <w:rPr>
          <w:rStyle w:val="Strong"/>
          <w:rFonts w:asciiTheme="minorHAnsi" w:eastAsiaTheme="minorHAnsi" w:hAnsiTheme="minorHAnsi" w:cstheme="minorBidi"/>
          <w:b w:val="0"/>
          <w:szCs w:val="20"/>
        </w:rPr>
        <w:t xml:space="preserve">is </w:t>
      </w:r>
      <w:r w:rsidR="004700ED">
        <w:rPr>
          <w:rStyle w:val="Strong"/>
          <w:rFonts w:asciiTheme="minorHAnsi" w:eastAsiaTheme="minorHAnsi" w:hAnsiTheme="minorHAnsi" w:cstheme="minorBidi"/>
          <w:b w:val="0"/>
          <w:szCs w:val="20"/>
        </w:rPr>
        <w:t xml:space="preserve">also </w:t>
      </w:r>
      <w:r>
        <w:rPr>
          <w:rStyle w:val="Strong"/>
          <w:rFonts w:asciiTheme="minorHAnsi" w:eastAsiaTheme="minorHAnsi" w:hAnsiTheme="minorHAnsi" w:cstheme="minorBidi"/>
          <w:b w:val="0"/>
          <w:szCs w:val="20"/>
        </w:rPr>
        <w:t>being sought.</w:t>
      </w: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730C04">
      <w:pPr>
        <w:pStyle w:val="Heading2"/>
      </w:pPr>
      <w:r w:rsidRPr="00154B00">
        <w:t xml:space="preserve">What is the type of </w:t>
      </w:r>
      <w:proofErr w:type="gramStart"/>
      <w:r w:rsidRPr="00154B00">
        <w:t>service:</w:t>
      </w:r>
      <w:proofErr w:type="gramEnd"/>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EA3784"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5B57E8">
        <w:rPr>
          <w:b/>
          <w:szCs w:val="20"/>
        </w:rPr>
      </w:r>
      <w:r w:rsidR="005B57E8">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Allied health service</w:t>
      </w:r>
    </w:p>
    <w:p w:rsidR="00A6594E" w:rsidRDefault="0081511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B57E8">
        <w:rPr>
          <w:b/>
          <w:szCs w:val="20"/>
        </w:rPr>
      </w:r>
      <w:r w:rsidR="005B57E8">
        <w:rPr>
          <w:b/>
          <w:szCs w:val="20"/>
        </w:rPr>
        <w:fldChar w:fldCharType="separate"/>
      </w:r>
      <w:r>
        <w:rPr>
          <w:b/>
          <w:szCs w:val="20"/>
        </w:rPr>
        <w:fldChar w:fldCharType="end"/>
      </w:r>
      <w:r w:rsidR="00A6594E" w:rsidRPr="0027105F">
        <w:rPr>
          <w:b/>
          <w:szCs w:val="20"/>
        </w:rPr>
        <w:t xml:space="preserve"> </w:t>
      </w:r>
      <w:r w:rsidR="00A6594E">
        <w:t>Co-dependent technology</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Hybrid health technology</w:t>
      </w:r>
    </w:p>
    <w:p w:rsidR="00124B00" w:rsidRPr="00A6594E" w:rsidRDefault="00124B00" w:rsidP="00A6491A">
      <w:pPr>
        <w:spacing w:before="0" w:after="0"/>
        <w:ind w:left="284"/>
      </w:pP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57E8">
        <w:rPr>
          <w:b/>
          <w:szCs w:val="20"/>
        </w:rPr>
      </w:r>
      <w:r w:rsidR="005B57E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57E8">
        <w:rPr>
          <w:b/>
          <w:szCs w:val="20"/>
        </w:rPr>
      </w:r>
      <w:r w:rsidR="005B57E8">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57E8">
        <w:rPr>
          <w:b/>
          <w:szCs w:val="20"/>
        </w:rPr>
      </w:r>
      <w:r w:rsidR="005B57E8">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695FB9"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B57E8">
        <w:rPr>
          <w:b/>
          <w:szCs w:val="20"/>
        </w:rPr>
      </w:r>
      <w:r w:rsidR="005B57E8">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57E8">
        <w:rPr>
          <w:b/>
          <w:szCs w:val="20"/>
        </w:rPr>
      </w:r>
      <w:r w:rsidR="005B57E8">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57E8">
        <w:rPr>
          <w:b/>
          <w:szCs w:val="20"/>
        </w:rPr>
      </w:r>
      <w:r w:rsidR="005B57E8">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rsidR="002A40AE" w:rsidRDefault="002A40AE" w:rsidP="002F55EF">
      <w:pPr>
        <w:spacing w:before="0" w:after="0"/>
      </w:pP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EA3784"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B57E8">
        <w:rPr>
          <w:b/>
          <w:szCs w:val="20"/>
        </w:rPr>
      </w:r>
      <w:r w:rsidR="005B57E8">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57E8">
        <w:rPr>
          <w:b/>
          <w:szCs w:val="20"/>
        </w:rPr>
      </w:r>
      <w:r w:rsidR="005B57E8">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Yes</w:t>
      </w:r>
    </w:p>
    <w:p w:rsidR="00407FE0" w:rsidRDefault="00EA378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FE16C1">
        <w:rPr>
          <w:szCs w:val="20"/>
        </w:rPr>
        <w:t xml:space="preserve"> No  </w:t>
      </w:r>
    </w:p>
    <w:p w:rsidR="00FE16C1" w:rsidRPr="00FE16C1" w:rsidRDefault="00286500" w:rsidP="00A6491A">
      <w:pPr>
        <w:spacing w:before="0" w:after="0"/>
        <w:ind w:left="284"/>
        <w:rPr>
          <w:szCs w:val="20"/>
        </w:rPr>
      </w:pPr>
      <w:r>
        <w:rPr>
          <w:szCs w:val="20"/>
        </w:rPr>
        <w:t xml:space="preserve">Only patients who have germline BRCA1/2 gene mutations are currently eligible for </w:t>
      </w:r>
      <w:r w:rsidR="004261DD">
        <w:rPr>
          <w:szCs w:val="20"/>
        </w:rPr>
        <w:t xml:space="preserve">PBS </w:t>
      </w:r>
      <w:proofErr w:type="spellStart"/>
      <w:r>
        <w:rPr>
          <w:szCs w:val="20"/>
        </w:rPr>
        <w:t>olaparib</w:t>
      </w:r>
      <w:proofErr w:type="spellEnd"/>
      <w:r w:rsidR="004261DD">
        <w:rPr>
          <w:szCs w:val="20"/>
        </w:rPr>
        <w:t xml:space="preserve"> (PBS Items 11034R and 11050N)</w:t>
      </w:r>
      <w:r>
        <w:rPr>
          <w:szCs w:val="20"/>
        </w:rPr>
        <w:t>.</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r w:rsidR="00024E50">
        <w:t>: Not applicable</w:t>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E52094"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1E6919">
        <w:rPr>
          <w:szCs w:val="20"/>
        </w:rPr>
        <w:t xml:space="preserve"> No</w:t>
      </w:r>
    </w:p>
    <w:p w:rsidR="001E6919" w:rsidRDefault="00E52094" w:rsidP="00A6491A">
      <w:pPr>
        <w:spacing w:before="0" w:after="0"/>
        <w:ind w:left="284"/>
      </w:pPr>
      <w:r>
        <w:t>An integrated co-dependent submission to MSAC/PBAC is proposed</w:t>
      </w:r>
      <w:r w:rsidR="007952BC">
        <w:t xml:space="preserve"> </w:t>
      </w:r>
      <w:r w:rsidR="004261DD">
        <w:t>for tumour</w:t>
      </w:r>
      <w:r w:rsidR="00024E50">
        <w:t xml:space="preserve"> testing </w:t>
      </w:r>
      <w:r w:rsidR="007952BC">
        <w:t xml:space="preserve">to determine </w:t>
      </w:r>
      <w:r w:rsidR="00024E50">
        <w:t xml:space="preserve">PBS </w:t>
      </w:r>
      <w:r w:rsidR="007952BC">
        <w:t>acces</w:t>
      </w:r>
      <w:r w:rsidR="004261DD">
        <w:t xml:space="preserve">s to </w:t>
      </w:r>
      <w:proofErr w:type="spellStart"/>
      <w:r w:rsidR="004261DD">
        <w:t>olaparib</w:t>
      </w:r>
      <w:proofErr w:type="spellEnd"/>
      <w:r w:rsidR="004261DD">
        <w:t xml:space="preserve"> in patients with platinum sensitive, relapsed HGSOC with somatic BRCA1/2 gene mutations.</w:t>
      </w:r>
    </w:p>
    <w:p w:rsidR="002964DA" w:rsidRPr="007E39E4" w:rsidRDefault="002964DA" w:rsidP="00A6491A">
      <w:pPr>
        <w:spacing w:before="0" w:after="0"/>
        <w:ind w:left="284"/>
        <w:rPr>
          <w:szCs w:val="20"/>
        </w:rPr>
      </w:pPr>
    </w:p>
    <w:p w:rsidR="000E5439" w:rsidRDefault="000E5439" w:rsidP="00530204">
      <w:pPr>
        <w:pStyle w:val="Heading2"/>
        <w:numPr>
          <w:ilvl w:val="0"/>
          <w:numId w:val="25"/>
        </w:numPr>
      </w:pPr>
      <w:r w:rsidRPr="007E39E4">
        <w:lastRenderedPageBreak/>
        <w:t>If you are seeking both MBS and PBS listing</w:t>
      </w:r>
      <w:r w:rsidR="00B75965" w:rsidRPr="007E39E4">
        <w:t>, what is the trade name and generic name of the pharmaceutical?</w:t>
      </w:r>
    </w:p>
    <w:p w:rsidR="001E6958" w:rsidRPr="00E33032" w:rsidRDefault="001E6958" w:rsidP="00E33032">
      <w:pPr>
        <w:spacing w:before="0" w:after="0"/>
        <w:ind w:left="284"/>
        <w:rPr>
          <w:vertAlign w:val="superscript"/>
        </w:rPr>
      </w:pPr>
      <w:r>
        <w:t xml:space="preserve">Trade name: </w:t>
      </w:r>
      <w:r w:rsidR="00E33032">
        <w:t>LYNPARZA</w:t>
      </w:r>
      <w:r w:rsidR="00E33032" w:rsidRPr="00E33032">
        <w:rPr>
          <w:rFonts w:cstheme="minorHAnsi"/>
          <w:sz w:val="40"/>
          <w:szCs w:val="40"/>
        </w:rPr>
        <w:t>®</w:t>
      </w:r>
    </w:p>
    <w:p w:rsidR="001E6958" w:rsidRPr="001E6958" w:rsidRDefault="001E6958" w:rsidP="002F06B6">
      <w:pPr>
        <w:spacing w:before="0" w:after="0"/>
        <w:ind w:left="284"/>
      </w:pPr>
      <w:r>
        <w:t xml:space="preserve">Generic name: </w:t>
      </w:r>
      <w:proofErr w:type="spellStart"/>
      <w:r w:rsidR="00E33032">
        <w:t>olaparib</w:t>
      </w:r>
      <w:proofErr w:type="spellEnd"/>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r w:rsidR="002F06B6">
        <w:t xml:space="preserve"> </w:t>
      </w:r>
      <w:r w:rsidR="002F06B6" w:rsidRPr="004B2E55">
        <w:rPr>
          <w:b w:val="0"/>
        </w:rPr>
        <w:t>Not applicable</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Yes</w:t>
      </w:r>
    </w:p>
    <w:p w:rsidR="001E6919" w:rsidRDefault="001E6958" w:rsidP="00275D1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No</w:t>
      </w:r>
    </w:p>
    <w:p w:rsidR="001E6919" w:rsidRPr="001E6958" w:rsidRDefault="001E6919" w:rsidP="00A6491A">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r w:rsidR="004B2E55">
        <w:rPr>
          <w:b w:val="0"/>
        </w:rPr>
        <w:t>Not applicable</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9939DC" w:rsidRDefault="009939DC" w:rsidP="004B2E55">
      <w:pPr>
        <w:ind w:left="284"/>
      </w:pPr>
    </w:p>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174EF4">
        <w:rPr>
          <w:b w:val="0"/>
        </w:rPr>
        <w:t xml:space="preserve"> Not applicable</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Yes</w:t>
      </w:r>
    </w:p>
    <w:p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r w:rsidR="008B66D6">
        <w:t xml:space="preserve"> </w:t>
      </w:r>
      <w:r w:rsidR="008B66D6" w:rsidRPr="008B66D6">
        <w:rPr>
          <w:b w:val="0"/>
        </w:rPr>
        <w:t>Not applicable</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Yes</w:t>
      </w:r>
    </w:p>
    <w:p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r w:rsidR="008B66D6">
        <w:t xml:space="preserve"> </w:t>
      </w:r>
      <w:r w:rsidR="008B66D6" w:rsidRPr="008B66D6">
        <w:rPr>
          <w:b w:val="0"/>
        </w:rPr>
        <w:t>Not applicable</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4700ED" w:rsidRDefault="00A9062D" w:rsidP="00530204">
      <w:pPr>
        <w:pStyle w:val="Heading2"/>
      </w:pPr>
      <w:r w:rsidRPr="004700ED">
        <w:t>P</w:t>
      </w:r>
      <w:r w:rsidR="0084657B" w:rsidRPr="004700ED">
        <w:t xml:space="preserve">lease identify </w:t>
      </w:r>
      <w:r w:rsidR="00E8649B" w:rsidRPr="004700ED">
        <w:t xml:space="preserve">any single </w:t>
      </w:r>
      <w:r w:rsidR="00016B6E" w:rsidRPr="004700ED">
        <w:t>and / or multi-</w:t>
      </w:r>
      <w:r w:rsidR="00E8649B" w:rsidRPr="004700ED">
        <w:t>use consumables</w:t>
      </w:r>
      <w:r w:rsidR="0084657B" w:rsidRPr="004700ED">
        <w:t xml:space="preserve"> </w:t>
      </w:r>
      <w:r w:rsidR="00E8649B" w:rsidRPr="004700ED">
        <w:t>delivered as part of the service?</w:t>
      </w:r>
    </w:p>
    <w:p w:rsidR="009939DC" w:rsidRDefault="00E33032" w:rsidP="00A6491A">
      <w:pPr>
        <w:spacing w:before="0" w:after="0"/>
        <w:ind w:left="284"/>
      </w:pPr>
      <w:r>
        <w:t>Single use consumables:</w:t>
      </w:r>
    </w:p>
    <w:p w:rsidR="004700ED" w:rsidRDefault="009939DC" w:rsidP="00A6491A">
      <w:pPr>
        <w:spacing w:before="0" w:after="0"/>
        <w:ind w:left="284"/>
      </w:pPr>
      <w:r>
        <w:t>Multi-use consumables:</w:t>
      </w:r>
    </w:p>
    <w:p w:rsidR="00174EF4" w:rsidRPr="00224C9D" w:rsidRDefault="00224C9D" w:rsidP="00A6491A">
      <w:pPr>
        <w:spacing w:before="0" w:after="0"/>
        <w:ind w:left="284"/>
        <w:rPr>
          <w:b/>
        </w:rPr>
      </w:pPr>
      <w:r w:rsidRPr="00224C9D">
        <w:rPr>
          <w:b/>
        </w:rPr>
        <w:t>Redacted</w:t>
      </w:r>
    </w:p>
    <w:p w:rsidR="00174EF4" w:rsidRDefault="00174EF4" w:rsidP="00A6491A">
      <w:pPr>
        <w:spacing w:before="0" w:after="0"/>
        <w:ind w:left="284"/>
      </w:pPr>
    </w:p>
    <w:p w:rsidR="00F301F1" w:rsidRPr="00855944" w:rsidRDefault="00F301F1" w:rsidP="00A6491A">
      <w:pPr>
        <w:spacing w:before="0" w:after="0"/>
        <w:ind w:left="284"/>
      </w:pPr>
      <w:r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D17F5A" w:rsidRDefault="00A26343" w:rsidP="00A6491A">
      <w:pPr>
        <w:spacing w:before="0" w:after="0"/>
        <w:ind w:left="284"/>
        <w:rPr>
          <w:szCs w:val="20"/>
        </w:rPr>
      </w:pPr>
      <w:r w:rsidRPr="00A26343">
        <w:rPr>
          <w:szCs w:val="20"/>
        </w:rPr>
        <w:t>Type of therapeutic good</w:t>
      </w:r>
      <w:r w:rsidR="004D1CBD">
        <w:rPr>
          <w:szCs w:val="20"/>
        </w:rPr>
        <w:t>: Pharmace</w:t>
      </w:r>
      <w:r w:rsidR="00D17F5A">
        <w:rPr>
          <w:szCs w:val="20"/>
        </w:rPr>
        <w:t>utical product: LYNPARZA</w:t>
      </w:r>
      <w:proofErr w:type="gramStart"/>
      <w:r w:rsidR="00D17F5A" w:rsidRPr="00D17F5A">
        <w:rPr>
          <w:rFonts w:cstheme="minorHAnsi"/>
          <w:sz w:val="28"/>
          <w:szCs w:val="28"/>
        </w:rPr>
        <w:t>®</w:t>
      </w:r>
      <w:r w:rsidR="00D17F5A">
        <w:rPr>
          <w:rFonts w:cstheme="minorHAnsi"/>
          <w:szCs w:val="20"/>
        </w:rPr>
        <w:t>(</w:t>
      </w:r>
      <w:proofErr w:type="spellStart"/>
      <w:proofErr w:type="gramEnd"/>
      <w:r w:rsidR="00D17F5A">
        <w:rPr>
          <w:rFonts w:cstheme="minorHAnsi"/>
          <w:szCs w:val="20"/>
        </w:rPr>
        <w:t>olaparib</w:t>
      </w:r>
      <w:proofErr w:type="spellEnd"/>
      <w:r w:rsidR="00D17F5A">
        <w:rPr>
          <w:rFonts w:cstheme="minorHAnsi"/>
          <w:szCs w:val="20"/>
        </w:rPr>
        <w:t>)</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4D1CBD">
        <w:rPr>
          <w:szCs w:val="20"/>
        </w:rPr>
        <w:t>AstraZeneca Pty Ltd</w:t>
      </w:r>
    </w:p>
    <w:p w:rsidR="00A26343" w:rsidRDefault="00A26343" w:rsidP="00A6491A">
      <w:pPr>
        <w:spacing w:before="0" w:after="0"/>
        <w:ind w:left="284"/>
        <w:rPr>
          <w:szCs w:val="20"/>
        </w:rPr>
      </w:pPr>
      <w:r w:rsidRPr="00A26343">
        <w:rPr>
          <w:szCs w:val="20"/>
        </w:rPr>
        <w:t>Sponsor’s name</w:t>
      </w:r>
      <w:r>
        <w:rPr>
          <w:szCs w:val="20"/>
        </w:rPr>
        <w:t xml:space="preserve">: </w:t>
      </w:r>
      <w:r w:rsidR="004D1CBD">
        <w:rPr>
          <w:szCs w:val="20"/>
        </w:rPr>
        <w:t>AstraZeneca Pty Ltd</w:t>
      </w:r>
    </w:p>
    <w:p w:rsidR="004D1CBD" w:rsidRDefault="004D1CBD" w:rsidP="00A6491A">
      <w:pPr>
        <w:spacing w:before="0" w:after="0"/>
        <w:ind w:left="284"/>
        <w:rPr>
          <w:szCs w:val="20"/>
        </w:rPr>
      </w:pPr>
    </w:p>
    <w:p w:rsidR="004D1CBD" w:rsidRPr="00A26343" w:rsidRDefault="004D1CBD" w:rsidP="004D1CBD">
      <w:pPr>
        <w:spacing w:before="0" w:after="0"/>
        <w:ind w:left="284"/>
        <w:rPr>
          <w:szCs w:val="20"/>
        </w:rPr>
      </w:pPr>
      <w:r w:rsidRPr="00A26343">
        <w:rPr>
          <w:szCs w:val="20"/>
        </w:rPr>
        <w:t>Type of therapeutic good</w:t>
      </w:r>
      <w:r w:rsidR="00891269">
        <w:rPr>
          <w:szCs w:val="20"/>
        </w:rPr>
        <w:t xml:space="preserve">: </w:t>
      </w:r>
      <w:r w:rsidR="008F5652">
        <w:rPr>
          <w:szCs w:val="20"/>
        </w:rPr>
        <w:t xml:space="preserve">In-vitro diagnostic test: </w:t>
      </w:r>
      <w:r w:rsidR="00B44173">
        <w:t xml:space="preserve">In-house developed </w:t>
      </w:r>
    </w:p>
    <w:p w:rsidR="004D1CBD" w:rsidRPr="00A26343" w:rsidRDefault="004D1CBD" w:rsidP="004D1CBD">
      <w:pPr>
        <w:spacing w:before="0" w:after="0"/>
        <w:ind w:left="284"/>
        <w:rPr>
          <w:szCs w:val="20"/>
        </w:rPr>
      </w:pPr>
      <w:r w:rsidRPr="00A26343">
        <w:rPr>
          <w:szCs w:val="20"/>
        </w:rPr>
        <w:t>Manufacturer’s name</w:t>
      </w:r>
      <w:r>
        <w:rPr>
          <w:szCs w:val="20"/>
        </w:rPr>
        <w:t xml:space="preserve">: </w:t>
      </w:r>
      <w:r w:rsidR="00B44173">
        <w:rPr>
          <w:szCs w:val="20"/>
        </w:rPr>
        <w:t>N/A</w:t>
      </w:r>
    </w:p>
    <w:p w:rsidR="00C61A55" w:rsidRDefault="004D1CBD" w:rsidP="004D1CBD">
      <w:pPr>
        <w:spacing w:before="0" w:after="0"/>
        <w:ind w:left="284"/>
        <w:rPr>
          <w:szCs w:val="20"/>
        </w:rPr>
      </w:pPr>
      <w:r w:rsidRPr="00A26343">
        <w:rPr>
          <w:szCs w:val="20"/>
        </w:rPr>
        <w:t>Sponsor’s name</w:t>
      </w:r>
      <w:r>
        <w:rPr>
          <w:szCs w:val="20"/>
        </w:rPr>
        <w:t>:</w:t>
      </w:r>
      <w:r w:rsidR="003130E1">
        <w:rPr>
          <w:szCs w:val="20"/>
        </w:rPr>
        <w:t xml:space="preserve"> </w:t>
      </w:r>
      <w:r w:rsidR="00F527FA">
        <w:rPr>
          <w:szCs w:val="20"/>
        </w:rPr>
        <w:t>Various, as follows at the time of this Application:</w:t>
      </w:r>
      <w:r w:rsidR="00CF775B">
        <w:rPr>
          <w:szCs w:val="20"/>
        </w:rPr>
        <w:tab/>
      </w:r>
      <w:r w:rsidR="00224C9D" w:rsidRPr="00224C9D">
        <w:rPr>
          <w:b/>
          <w:szCs w:val="20"/>
        </w:rPr>
        <w:t>Redacted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160CC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w:t>
      </w:r>
      <w:r w:rsidRPr="00615F42">
        <w:rPr>
          <w:szCs w:val="20"/>
        </w:rPr>
        <w:t>AIMD</w:t>
      </w:r>
    </w:p>
    <w:p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224C9D" w:rsidP="00530204">
      <w:pPr>
        <w:pStyle w:val="Heading2"/>
      </w:pPr>
      <w:r>
        <w:t xml:space="preserve"> </w:t>
      </w:r>
      <w:r w:rsidR="0011369B">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160CC2"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EE330C"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43654D">
        <w:rPr>
          <w:szCs w:val="20"/>
        </w:rPr>
        <w:t xml:space="preserve"> Yes (if yes, please provide details below)</w:t>
      </w:r>
    </w:p>
    <w:p w:rsidR="0043654D" w:rsidRDefault="00EE330C"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43654D">
        <w:rPr>
          <w:szCs w:val="20"/>
        </w:rPr>
        <w:t xml:space="preserve"> No</w:t>
      </w:r>
    </w:p>
    <w:p w:rsidR="00EE330C" w:rsidRDefault="00EE330C" w:rsidP="003130E1">
      <w:pPr>
        <w:spacing w:before="0" w:after="0"/>
        <w:rPr>
          <w:szCs w:val="20"/>
        </w:rPr>
      </w:pPr>
    </w:p>
    <w:p w:rsidR="009270AF" w:rsidRDefault="00EE330C" w:rsidP="0043654D">
      <w:pPr>
        <w:spacing w:before="0" w:after="0"/>
        <w:ind w:left="284"/>
        <w:rPr>
          <w:szCs w:val="20"/>
        </w:rPr>
      </w:pPr>
      <w:r>
        <w:rPr>
          <w:szCs w:val="20"/>
        </w:rPr>
        <w:t>The pharmaceutical product LYNPARZA (</w:t>
      </w:r>
      <w:proofErr w:type="spellStart"/>
      <w:r>
        <w:rPr>
          <w:szCs w:val="20"/>
        </w:rPr>
        <w:t>olaparib</w:t>
      </w:r>
      <w:proofErr w:type="spellEnd"/>
      <w:r>
        <w:rPr>
          <w:szCs w:val="20"/>
        </w:rPr>
        <w:t>) is registered on the ARTG</w:t>
      </w:r>
      <w:r w:rsidR="009270AF">
        <w:rPr>
          <w:szCs w:val="20"/>
        </w:rPr>
        <w:t xml:space="preserve"> and the registered indication already includes HGSOC patients with somatic BRCA1/2 gene mutations</w:t>
      </w:r>
      <w:r w:rsidR="009C1EA1">
        <w:rPr>
          <w:szCs w:val="20"/>
        </w:rPr>
        <w:t>.</w:t>
      </w:r>
      <w:r w:rsidR="009270AF">
        <w:rPr>
          <w:szCs w:val="20"/>
        </w:rPr>
        <w:t xml:space="preserve"> </w:t>
      </w: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9C1EA1">
        <w:rPr>
          <w:szCs w:val="20"/>
        </w:rPr>
        <w:t xml:space="preserve">ARTG number </w:t>
      </w:r>
      <w:r w:rsidR="00A65F23">
        <w:t>234008</w:t>
      </w:r>
    </w:p>
    <w:p w:rsidR="0043654D" w:rsidRPr="0052494C" w:rsidRDefault="0043654D" w:rsidP="0043654D">
      <w:pPr>
        <w:spacing w:before="0" w:after="0"/>
        <w:ind w:left="284"/>
        <w:rPr>
          <w:i/>
          <w:szCs w:val="20"/>
        </w:rPr>
      </w:pPr>
      <w:r w:rsidRPr="0043654D">
        <w:rPr>
          <w:szCs w:val="20"/>
        </w:rPr>
        <w:t>TGA approved indication(s), if applicable:</w:t>
      </w:r>
      <w:r w:rsidR="0052494C">
        <w:rPr>
          <w:szCs w:val="20"/>
        </w:rPr>
        <w:t xml:space="preserve"> </w:t>
      </w:r>
      <w:proofErr w:type="spellStart"/>
      <w:r w:rsidR="0052494C" w:rsidRPr="0052494C">
        <w:rPr>
          <w:i/>
          <w:szCs w:val="20"/>
        </w:rPr>
        <w:t>Olaparib</w:t>
      </w:r>
      <w:proofErr w:type="spellEnd"/>
      <w:r w:rsidR="0052494C" w:rsidRPr="0052494C">
        <w:rPr>
          <w:i/>
          <w:szCs w:val="20"/>
        </w:rPr>
        <w:t xml:space="preserve"> is indicated as monotherapy for the maintenance treatment of patients with platinum sensitive relapsed BRCA-mutated (germline or somatic) high grade serous epithelial ovarian, fallopian tube or primary peritoneal </w:t>
      </w:r>
      <w:proofErr w:type="gramStart"/>
      <w:r w:rsidR="0052494C" w:rsidRPr="0052494C">
        <w:rPr>
          <w:i/>
          <w:szCs w:val="20"/>
        </w:rPr>
        <w:t>cancer who are</w:t>
      </w:r>
      <w:proofErr w:type="gramEnd"/>
      <w:r w:rsidR="0052494C" w:rsidRPr="0052494C">
        <w:rPr>
          <w:i/>
          <w:szCs w:val="20"/>
        </w:rPr>
        <w:t xml:space="preserve"> in response (complete response or partial response) after platinum-based chemotherapy.  Prior treatment must have included at least 2 courses of platinum-based regimens.</w:t>
      </w:r>
    </w:p>
    <w:p w:rsidR="00F301F1" w:rsidRDefault="0043654D" w:rsidP="0043654D">
      <w:pPr>
        <w:spacing w:before="0" w:after="0"/>
        <w:ind w:left="284"/>
      </w:pPr>
      <w:r w:rsidRPr="0043654D">
        <w:rPr>
          <w:szCs w:val="20"/>
        </w:rPr>
        <w:t>TGA approved purpose(s), if applicable:</w:t>
      </w:r>
      <w:r>
        <w:rPr>
          <w:szCs w:val="20"/>
        </w:rPr>
        <w:t xml:space="preserve">  </w:t>
      </w:r>
      <w:r w:rsidR="00EE330C">
        <w:t>Not applicable</w:t>
      </w:r>
    </w:p>
    <w:p w:rsidR="0052494C" w:rsidRDefault="0052494C" w:rsidP="0043654D">
      <w:pPr>
        <w:spacing w:before="0" w:after="0"/>
        <w:ind w:left="284"/>
      </w:pPr>
    </w:p>
    <w:p w:rsidR="00962F52" w:rsidRPr="00224C9D" w:rsidRDefault="00224C9D" w:rsidP="00962F52">
      <w:pPr>
        <w:spacing w:before="0" w:after="0"/>
        <w:ind w:left="284"/>
        <w:rPr>
          <w:b/>
        </w:rPr>
      </w:pPr>
      <w:proofErr w:type="gramStart"/>
      <w:r w:rsidRPr="00224C9D">
        <w:rPr>
          <w:b/>
        </w:rPr>
        <w:t>Redacted.</w:t>
      </w:r>
      <w:proofErr w:type="gramEnd"/>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Yes (please provide details below)</w:t>
      </w:r>
    </w:p>
    <w:p w:rsidR="0047581D" w:rsidRDefault="003130E1"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47581D">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rsidR="009C1EA1">
        <w:t>Not applicable</w:t>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9C1EA1">
        <w:t>Not applicable</w:t>
      </w:r>
    </w:p>
    <w:p w:rsidR="0047581D" w:rsidRPr="0047581D" w:rsidRDefault="0047581D" w:rsidP="0047581D">
      <w:pPr>
        <w:spacing w:before="0" w:after="0"/>
        <w:rPr>
          <w:szCs w:val="20"/>
        </w:rPr>
      </w:pPr>
      <w:r w:rsidRPr="0047581D">
        <w:rPr>
          <w:szCs w:val="20"/>
        </w:rPr>
        <w:t>TGA Application ID</w:t>
      </w:r>
      <w:r>
        <w:rPr>
          <w:szCs w:val="20"/>
        </w:rPr>
        <w:t xml:space="preserve">:  </w:t>
      </w:r>
      <w:r w:rsidR="009C1EA1">
        <w:t>Not applicable</w:t>
      </w:r>
    </w:p>
    <w:p w:rsidR="0047581D" w:rsidRPr="0047581D" w:rsidRDefault="0047581D" w:rsidP="0047581D">
      <w:pPr>
        <w:spacing w:before="0" w:after="0"/>
        <w:rPr>
          <w:szCs w:val="20"/>
        </w:rPr>
      </w:pPr>
      <w:r w:rsidRPr="0047581D">
        <w:rPr>
          <w:szCs w:val="20"/>
        </w:rPr>
        <w:t>TGA approved indication(s), if applicable</w:t>
      </w:r>
      <w:r>
        <w:rPr>
          <w:szCs w:val="20"/>
        </w:rPr>
        <w:t>:</w:t>
      </w:r>
      <w:r w:rsidR="00A65A83">
        <w:rPr>
          <w:szCs w:val="20"/>
        </w:rPr>
        <w:t xml:space="preserve"> Not applicable</w:t>
      </w:r>
      <w:r>
        <w:rPr>
          <w:szCs w:val="20"/>
        </w:rPr>
        <w:t xml:space="preserve">  </w:t>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A65A83">
        <w:rPr>
          <w:szCs w:val="20"/>
        </w:rPr>
        <w:t>Not applicable</w:t>
      </w:r>
    </w:p>
    <w:p w:rsidR="00C0796F" w:rsidRPr="000A110D" w:rsidRDefault="000A110D" w:rsidP="00530204">
      <w:pPr>
        <w:pStyle w:val="Heading2"/>
      </w:pPr>
      <w:r>
        <w:lastRenderedPageBreak/>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7A2F89"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0A110D">
        <w:rPr>
          <w:szCs w:val="20"/>
        </w:rPr>
        <w:t xml:space="preserve"> Yes (please provide details below)</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No</w:t>
      </w:r>
    </w:p>
    <w:p w:rsidR="000A110D" w:rsidRPr="00224C9D" w:rsidRDefault="00224C9D" w:rsidP="00971EDB">
      <w:pPr>
        <w:spacing w:before="0" w:after="0"/>
        <w:rPr>
          <w:b/>
          <w:szCs w:val="20"/>
        </w:rPr>
      </w:pPr>
      <w:r w:rsidRPr="00224C9D">
        <w:rPr>
          <w:b/>
          <w:szCs w:val="20"/>
        </w:rPr>
        <w:t>Redacted</w:t>
      </w:r>
    </w:p>
    <w:p w:rsidR="00971EDB" w:rsidRPr="00971EDB" w:rsidRDefault="00971EDB" w:rsidP="00971EDB">
      <w:pPr>
        <w:spacing w:before="0" w:after="0"/>
        <w:rPr>
          <w:szCs w:val="20"/>
        </w:rPr>
      </w:pPr>
      <w:r w:rsidRPr="00971EDB">
        <w:rPr>
          <w:szCs w:val="20"/>
        </w:rPr>
        <w:t>Estimated date of submission to TGA</w:t>
      </w:r>
      <w:r w:rsidR="00224C9D">
        <w:rPr>
          <w:szCs w:val="20"/>
        </w:rPr>
        <w:t xml:space="preserve">: </w:t>
      </w:r>
      <w:r w:rsidR="00224C9D" w:rsidRPr="00224C9D">
        <w:rPr>
          <w:b/>
          <w:szCs w:val="20"/>
        </w:rPr>
        <w:t>Redacted</w:t>
      </w:r>
    </w:p>
    <w:p w:rsidR="00971EDB" w:rsidRPr="00971EDB" w:rsidRDefault="00971EDB" w:rsidP="00971EDB">
      <w:pPr>
        <w:spacing w:before="0" w:after="0"/>
        <w:rPr>
          <w:szCs w:val="20"/>
        </w:rPr>
      </w:pPr>
      <w:r w:rsidRPr="00971EDB">
        <w:rPr>
          <w:szCs w:val="20"/>
        </w:rPr>
        <w:t>Proposed indication(s), if applicable</w:t>
      </w:r>
      <w:r w:rsidR="00224C9D">
        <w:rPr>
          <w:szCs w:val="20"/>
        </w:rPr>
        <w:t xml:space="preserve">: </w:t>
      </w:r>
      <w:r w:rsidR="00224C9D" w:rsidRPr="00224C9D">
        <w:rPr>
          <w:b/>
          <w:szCs w:val="20"/>
        </w:rPr>
        <w:t>Redacted</w:t>
      </w:r>
    </w:p>
    <w:p w:rsidR="00971EDB" w:rsidRPr="00971EDB" w:rsidRDefault="00971EDB" w:rsidP="00971EDB">
      <w:pPr>
        <w:spacing w:before="0" w:after="0"/>
        <w:rPr>
          <w:szCs w:val="20"/>
        </w:rPr>
      </w:pPr>
      <w:r w:rsidRPr="00971EDB">
        <w:rPr>
          <w:szCs w:val="20"/>
        </w:rPr>
        <w:t>Proposed purpose(s), if applicable</w:t>
      </w:r>
      <w:r w:rsidR="00224C9D">
        <w:rPr>
          <w:szCs w:val="20"/>
        </w:rPr>
        <w:t xml:space="preserve">: </w:t>
      </w:r>
      <w:r w:rsidR="00224C9D" w:rsidRPr="00224C9D">
        <w:rPr>
          <w:b/>
          <w:szCs w:val="20"/>
        </w:rPr>
        <w:t>Redacted</w:t>
      </w:r>
    </w:p>
    <w:p w:rsidR="00F83A9D" w:rsidRPr="00154B00" w:rsidRDefault="00F83A9D" w:rsidP="00F83A9D">
      <w:pPr>
        <w:rPr>
          <w:szCs w:val="20"/>
        </w:rPr>
      </w:pPr>
    </w:p>
    <w:p w:rsidR="00DD308E" w:rsidRDefault="00DD308E">
      <w:pPr>
        <w:rPr>
          <w:b/>
          <w:sz w:val="32"/>
          <w:szCs w:val="32"/>
        </w:rPr>
        <w:sectPr w:rsidR="00DD308E" w:rsidSect="00991EE4">
          <w:footerReference w:type="default" r:id="rId13"/>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70"/>
        <w:gridCol w:w="1857"/>
        <w:gridCol w:w="1508"/>
        <w:gridCol w:w="3121"/>
        <w:gridCol w:w="5562"/>
        <w:gridCol w:w="1556"/>
      </w:tblGrid>
      <w:tr w:rsidR="00DD308E" w:rsidTr="00C72A0C">
        <w:trPr>
          <w:cantSplit/>
          <w:tblHeader/>
        </w:trPr>
        <w:tc>
          <w:tcPr>
            <w:tcW w:w="201" w:type="pct"/>
          </w:tcPr>
          <w:p w:rsidR="00DD308E" w:rsidRDefault="00DD308E" w:rsidP="00855944">
            <w:pPr>
              <w:pStyle w:val="TableHEADER"/>
            </w:pPr>
          </w:p>
        </w:tc>
        <w:tc>
          <w:tcPr>
            <w:tcW w:w="655" w:type="pct"/>
          </w:tcPr>
          <w:p w:rsidR="00DD308E" w:rsidRDefault="00DD308E" w:rsidP="00855944">
            <w:pPr>
              <w:pStyle w:val="TableHEADER"/>
            </w:pPr>
            <w:r>
              <w:t>Type of study design*</w:t>
            </w:r>
          </w:p>
        </w:tc>
        <w:tc>
          <w:tcPr>
            <w:tcW w:w="532" w:type="pct"/>
          </w:tcPr>
          <w:p w:rsidR="00DD308E" w:rsidRDefault="00DD308E" w:rsidP="00855944">
            <w:pPr>
              <w:pStyle w:val="TableHEADER"/>
            </w:pPr>
            <w:r>
              <w:t>Title of journal article  or research project (including any trial identifier or study lead if relevant)</w:t>
            </w:r>
          </w:p>
        </w:tc>
        <w:tc>
          <w:tcPr>
            <w:tcW w:w="1101" w:type="pct"/>
          </w:tcPr>
          <w:p w:rsidR="00DD308E" w:rsidRDefault="00DD308E" w:rsidP="00855944">
            <w:pPr>
              <w:pStyle w:val="TableHEADER"/>
            </w:pPr>
            <w:r>
              <w:t>Short description of research  (max 50 words)**</w:t>
            </w:r>
          </w:p>
        </w:tc>
        <w:tc>
          <w:tcPr>
            <w:tcW w:w="1962" w:type="pct"/>
          </w:tcPr>
          <w:p w:rsidR="00DD308E" w:rsidRDefault="00DD308E" w:rsidP="00855944">
            <w:pPr>
              <w:pStyle w:val="TableHEADER"/>
            </w:pPr>
            <w:r w:rsidRPr="00E82F54">
              <w:t xml:space="preserve">Website link to </w:t>
            </w:r>
            <w:r>
              <w:t>journal article or research (if available)</w:t>
            </w:r>
          </w:p>
        </w:tc>
        <w:tc>
          <w:tcPr>
            <w:tcW w:w="549" w:type="pct"/>
          </w:tcPr>
          <w:p w:rsidR="00DD308E" w:rsidRDefault="00DD308E" w:rsidP="00855944">
            <w:pPr>
              <w:pStyle w:val="TableHEADER"/>
            </w:pPr>
            <w:r w:rsidRPr="00E82F54">
              <w:t>Date</w:t>
            </w:r>
            <w:r>
              <w:t xml:space="preserve"> of publication</w:t>
            </w:r>
            <w:r w:rsidRPr="00E82F54">
              <w:t>*</w:t>
            </w:r>
            <w:r>
              <w:t>**</w:t>
            </w:r>
          </w:p>
        </w:tc>
      </w:tr>
      <w:tr w:rsidR="00610946" w:rsidTr="00610946">
        <w:trPr>
          <w:cantSplit/>
        </w:trPr>
        <w:tc>
          <w:tcPr>
            <w:tcW w:w="5000" w:type="pct"/>
            <w:gridSpan w:val="6"/>
            <w:shd w:val="clear" w:color="auto" w:fill="F2F2F2" w:themeFill="background1" w:themeFillShade="F2"/>
          </w:tcPr>
          <w:p w:rsidR="00610946" w:rsidRPr="00063036" w:rsidRDefault="00610946" w:rsidP="00DD308E">
            <w:pPr>
              <w:rPr>
                <w:szCs w:val="20"/>
              </w:rPr>
            </w:pPr>
            <w:r>
              <w:rPr>
                <w:szCs w:val="20"/>
              </w:rPr>
              <w:t>Pivotal study</w:t>
            </w:r>
          </w:p>
        </w:tc>
      </w:tr>
      <w:tr w:rsidR="00DD308E" w:rsidTr="00C72A0C">
        <w:trPr>
          <w:cantSplit/>
        </w:trPr>
        <w:tc>
          <w:tcPr>
            <w:tcW w:w="201" w:type="pct"/>
          </w:tcPr>
          <w:p w:rsidR="00DD308E" w:rsidRPr="00965B6B" w:rsidRDefault="00885AFE" w:rsidP="00DD308E">
            <w:pPr>
              <w:rPr>
                <w:szCs w:val="20"/>
              </w:rPr>
            </w:pPr>
            <w:r>
              <w:rPr>
                <w:szCs w:val="20"/>
              </w:rPr>
              <w:t>1</w:t>
            </w:r>
            <w:r w:rsidR="00DD308E">
              <w:rPr>
                <w:szCs w:val="20"/>
              </w:rPr>
              <w:t>.</w:t>
            </w:r>
          </w:p>
        </w:tc>
        <w:tc>
          <w:tcPr>
            <w:tcW w:w="655" w:type="pct"/>
          </w:tcPr>
          <w:p w:rsidR="00DD308E" w:rsidRPr="00063036" w:rsidRDefault="00610946" w:rsidP="000D504C">
            <w:pPr>
              <w:rPr>
                <w:szCs w:val="20"/>
              </w:rPr>
            </w:pPr>
            <w:r>
              <w:rPr>
                <w:szCs w:val="20"/>
              </w:rPr>
              <w:t>Comparative diagnostic study</w:t>
            </w:r>
            <w:r w:rsidR="00371E9F">
              <w:rPr>
                <w:szCs w:val="20"/>
              </w:rPr>
              <w:t xml:space="preserve"> based on randomised, double blind, placebo-controlled trial</w:t>
            </w:r>
          </w:p>
        </w:tc>
        <w:tc>
          <w:tcPr>
            <w:tcW w:w="532" w:type="pct"/>
          </w:tcPr>
          <w:p w:rsidR="00DD308E" w:rsidRPr="00063036" w:rsidRDefault="00610946" w:rsidP="00DD308E">
            <w:pPr>
              <w:rPr>
                <w:szCs w:val="20"/>
              </w:rPr>
            </w:pPr>
            <w:r>
              <w:rPr>
                <w:szCs w:val="20"/>
              </w:rPr>
              <w:t>Study 19</w:t>
            </w:r>
          </w:p>
        </w:tc>
        <w:tc>
          <w:tcPr>
            <w:tcW w:w="1101" w:type="pct"/>
          </w:tcPr>
          <w:p w:rsidR="0095086B" w:rsidRDefault="00824118" w:rsidP="00E723C9">
            <w:r>
              <w:t xml:space="preserve">Biological and clinical evidence for somatic mutations in BRCA1 and BRCA2 as predictive markers for </w:t>
            </w:r>
            <w:proofErr w:type="spellStart"/>
            <w:r>
              <w:t>olaparib</w:t>
            </w:r>
            <w:proofErr w:type="spellEnd"/>
            <w:r>
              <w:t xml:space="preserve"> response in high grade serous ovarian cancers</w:t>
            </w:r>
            <w:r w:rsidR="005E373F">
              <w:t>.</w:t>
            </w:r>
          </w:p>
          <w:p w:rsidR="005E373F" w:rsidRDefault="005E373F" w:rsidP="00E723C9">
            <w:r>
              <w:t xml:space="preserve">Planned retrospective analysis of </w:t>
            </w:r>
            <w:r w:rsidR="009C7A0D">
              <w:t xml:space="preserve">tumours from Study 19.  Next generation sequencing (NGS) of BRCA1/2 to detect mutations in tumour tissue.  High concordance was demonstrated with Sanger sequenced germline BRCA1/2 mutations in matched blood samples. </w:t>
            </w:r>
          </w:p>
          <w:p w:rsidR="005E373F" w:rsidRPr="00063036" w:rsidRDefault="005E373F" w:rsidP="00E723C9">
            <w:r>
              <w:t xml:space="preserve">Comparison of clinical outcomes between placebo and </w:t>
            </w:r>
            <w:proofErr w:type="spellStart"/>
            <w:r>
              <w:t>olaparib</w:t>
            </w:r>
            <w:proofErr w:type="spellEnd"/>
            <w:r>
              <w:t xml:space="preserve"> treated patients with somatic and germline BRCA1/2 mutations </w:t>
            </w:r>
          </w:p>
        </w:tc>
        <w:tc>
          <w:tcPr>
            <w:tcW w:w="1962" w:type="pct"/>
          </w:tcPr>
          <w:p w:rsidR="004753AB" w:rsidRDefault="005B57E8" w:rsidP="00496A6E">
            <w:pPr>
              <w:rPr>
                <w:szCs w:val="20"/>
              </w:rPr>
            </w:pPr>
            <w:hyperlink r:id="rId14" w:tooltip="Link to Oncotarget website" w:history="1">
              <w:r w:rsidR="004753AB" w:rsidRPr="001610B7">
                <w:rPr>
                  <w:rStyle w:val="Hyperlink"/>
                  <w:szCs w:val="20"/>
                </w:rPr>
                <w:t>http://www.oncotarget.com/index.php?journal=oncotarget&amp;page=article&amp;op=view&amp;path[]=17613&amp;path[]=56383</w:t>
              </w:r>
            </w:hyperlink>
          </w:p>
          <w:p w:rsidR="00AF7A4F" w:rsidRDefault="009C7A0D" w:rsidP="00496A6E">
            <w:pPr>
              <w:rPr>
                <w:szCs w:val="20"/>
              </w:rPr>
            </w:pPr>
            <w:r>
              <w:rPr>
                <w:szCs w:val="20"/>
              </w:rPr>
              <w:t>Dougherty BA, Lai Z, Hodgson DR</w:t>
            </w:r>
            <w:r w:rsidR="00D02728">
              <w:rPr>
                <w:szCs w:val="20"/>
              </w:rPr>
              <w:t xml:space="preserve">, Orr MCM </w:t>
            </w:r>
            <w:r w:rsidR="00D02728" w:rsidRPr="00D02728">
              <w:rPr>
                <w:i/>
                <w:szCs w:val="20"/>
              </w:rPr>
              <w:t>et al</w:t>
            </w:r>
            <w:r w:rsidR="00D02728">
              <w:rPr>
                <w:szCs w:val="20"/>
              </w:rPr>
              <w:t>.</w:t>
            </w:r>
          </w:p>
          <w:p w:rsidR="00D02728" w:rsidRDefault="00D02728" w:rsidP="00496A6E">
            <w:pPr>
              <w:rPr>
                <w:szCs w:val="20"/>
              </w:rPr>
            </w:pPr>
            <w:proofErr w:type="spellStart"/>
            <w:r w:rsidRPr="00D02728">
              <w:rPr>
                <w:i/>
                <w:szCs w:val="20"/>
              </w:rPr>
              <w:t>OncoTarget</w:t>
            </w:r>
            <w:proofErr w:type="spellEnd"/>
            <w:r>
              <w:rPr>
                <w:szCs w:val="20"/>
              </w:rPr>
              <w:t xml:space="preserve">, 2017, </w:t>
            </w:r>
            <w:r w:rsidRPr="00380F00">
              <w:rPr>
                <w:b/>
                <w:szCs w:val="20"/>
              </w:rPr>
              <w:t>8</w:t>
            </w:r>
            <w:r>
              <w:rPr>
                <w:szCs w:val="20"/>
              </w:rPr>
              <w:t>(27)</w:t>
            </w:r>
            <w:r w:rsidR="00380F00">
              <w:rPr>
                <w:szCs w:val="20"/>
              </w:rPr>
              <w:t>:</w:t>
            </w:r>
            <w:r>
              <w:rPr>
                <w:szCs w:val="20"/>
              </w:rPr>
              <w:t>43653-43661 plus online Supplement.</w:t>
            </w:r>
          </w:p>
          <w:p w:rsidR="001106AE" w:rsidRDefault="001106AE" w:rsidP="00496A6E">
            <w:pPr>
              <w:rPr>
                <w:szCs w:val="20"/>
              </w:rPr>
            </w:pPr>
          </w:p>
          <w:p w:rsidR="001106AE" w:rsidRDefault="005B57E8" w:rsidP="00496A6E">
            <w:pPr>
              <w:rPr>
                <w:szCs w:val="20"/>
              </w:rPr>
            </w:pPr>
            <w:hyperlink r:id="rId15" w:tooltip="Link to European Journal of Cancer" w:history="1">
              <w:r w:rsidR="001106AE" w:rsidRPr="003B0F3D">
                <w:rPr>
                  <w:rStyle w:val="Hyperlink"/>
                  <w:szCs w:val="20"/>
                </w:rPr>
                <w:t>https://ac.els-cdn.com/S0959804916303008/1-s2.0-S0959804916303008-main.pdf?_tid=59a4120e-106f-11e8-a11a-00000aab0f26&amp;acdnat=1518493287_2db02025f85bc68a9039ff1576f3e963</w:t>
              </w:r>
            </w:hyperlink>
          </w:p>
          <w:p w:rsidR="001106AE" w:rsidRDefault="001106AE" w:rsidP="00496A6E">
            <w:pPr>
              <w:rPr>
                <w:szCs w:val="20"/>
              </w:rPr>
            </w:pPr>
            <w:proofErr w:type="spellStart"/>
            <w:r>
              <w:rPr>
                <w:szCs w:val="20"/>
              </w:rPr>
              <w:t>Timms</w:t>
            </w:r>
            <w:proofErr w:type="spellEnd"/>
            <w:r>
              <w:rPr>
                <w:szCs w:val="20"/>
              </w:rPr>
              <w:t xml:space="preserve"> K, Neff C, Morris B, Hodgson D, et.al.</w:t>
            </w:r>
          </w:p>
          <w:p w:rsidR="001106AE" w:rsidRPr="00063036" w:rsidRDefault="001106AE" w:rsidP="00496A6E">
            <w:pPr>
              <w:rPr>
                <w:szCs w:val="20"/>
              </w:rPr>
            </w:pPr>
            <w:r w:rsidRPr="001106AE">
              <w:rPr>
                <w:i/>
                <w:szCs w:val="20"/>
              </w:rPr>
              <w:t>European Journal of Cancer</w:t>
            </w:r>
            <w:r>
              <w:rPr>
                <w:szCs w:val="20"/>
              </w:rPr>
              <w:t>, 2015, 51 (Supplement 3):S100-S101.</w:t>
            </w:r>
          </w:p>
        </w:tc>
        <w:tc>
          <w:tcPr>
            <w:tcW w:w="549" w:type="pct"/>
          </w:tcPr>
          <w:p w:rsidR="001106AE" w:rsidRDefault="00A73E44" w:rsidP="00DD308E">
            <w:pPr>
              <w:rPr>
                <w:szCs w:val="20"/>
              </w:rPr>
            </w:pPr>
            <w:r>
              <w:rPr>
                <w:szCs w:val="20"/>
              </w:rPr>
              <w:t xml:space="preserve">May </w:t>
            </w:r>
            <w:r w:rsidR="009C7A0D">
              <w:rPr>
                <w:szCs w:val="20"/>
              </w:rPr>
              <w:t>2017</w:t>
            </w:r>
          </w:p>
          <w:p w:rsidR="00C94F16" w:rsidRPr="00C94F16" w:rsidRDefault="00C94F16" w:rsidP="00DD308E">
            <w:pPr>
              <w:rPr>
                <w:sz w:val="200"/>
                <w:szCs w:val="200"/>
              </w:rPr>
            </w:pPr>
          </w:p>
          <w:p w:rsidR="001106AE" w:rsidRPr="00063036" w:rsidRDefault="001106AE" w:rsidP="00DD308E">
            <w:pPr>
              <w:rPr>
                <w:szCs w:val="20"/>
              </w:rPr>
            </w:pPr>
            <w:r>
              <w:rPr>
                <w:szCs w:val="20"/>
              </w:rPr>
              <w:t>September 2015</w:t>
            </w:r>
          </w:p>
        </w:tc>
      </w:tr>
      <w:tr w:rsidR="00610946" w:rsidTr="00C72A0C">
        <w:trPr>
          <w:cantSplit/>
        </w:trPr>
        <w:tc>
          <w:tcPr>
            <w:tcW w:w="201" w:type="pct"/>
          </w:tcPr>
          <w:p w:rsidR="00610946" w:rsidRDefault="00610946" w:rsidP="00DD308E">
            <w:pPr>
              <w:rPr>
                <w:szCs w:val="20"/>
              </w:rPr>
            </w:pPr>
          </w:p>
        </w:tc>
        <w:tc>
          <w:tcPr>
            <w:tcW w:w="655" w:type="pct"/>
          </w:tcPr>
          <w:p w:rsidR="00610946" w:rsidRDefault="00610946" w:rsidP="000D504C">
            <w:pPr>
              <w:rPr>
                <w:szCs w:val="20"/>
              </w:rPr>
            </w:pPr>
            <w:r>
              <w:rPr>
                <w:szCs w:val="20"/>
              </w:rPr>
              <w:t>Randomised</w:t>
            </w:r>
            <w:r w:rsidR="00D02728">
              <w:rPr>
                <w:szCs w:val="20"/>
              </w:rPr>
              <w:t xml:space="preserve">, placebo </w:t>
            </w:r>
            <w:r>
              <w:rPr>
                <w:szCs w:val="20"/>
              </w:rPr>
              <w:t>controlled</w:t>
            </w:r>
            <w:r w:rsidR="00D02728">
              <w:rPr>
                <w:szCs w:val="20"/>
              </w:rPr>
              <w:t>, double blind</w:t>
            </w:r>
            <w:r>
              <w:rPr>
                <w:szCs w:val="20"/>
              </w:rPr>
              <w:t xml:space="preserve"> </w:t>
            </w:r>
            <w:r w:rsidR="0012369A">
              <w:rPr>
                <w:szCs w:val="20"/>
              </w:rPr>
              <w:t xml:space="preserve">Phase II </w:t>
            </w:r>
            <w:r>
              <w:rPr>
                <w:szCs w:val="20"/>
              </w:rPr>
              <w:t>trial</w:t>
            </w:r>
          </w:p>
        </w:tc>
        <w:tc>
          <w:tcPr>
            <w:tcW w:w="532" w:type="pct"/>
          </w:tcPr>
          <w:p w:rsidR="00610946" w:rsidRPr="00063036" w:rsidRDefault="00D02728" w:rsidP="00DD308E">
            <w:pPr>
              <w:rPr>
                <w:szCs w:val="20"/>
              </w:rPr>
            </w:pPr>
            <w:r>
              <w:rPr>
                <w:szCs w:val="20"/>
              </w:rPr>
              <w:t>Study 19</w:t>
            </w:r>
          </w:p>
        </w:tc>
        <w:tc>
          <w:tcPr>
            <w:tcW w:w="1101" w:type="pct"/>
          </w:tcPr>
          <w:p w:rsidR="00610946" w:rsidRPr="00063036" w:rsidRDefault="00D02728" w:rsidP="00E723C9">
            <w:r>
              <w:t xml:space="preserve">Overall survival in patients with platinum sensitive, recurrent, serous ovarian cancer receiving </w:t>
            </w:r>
            <w:proofErr w:type="spellStart"/>
            <w:r w:rsidR="00457A14">
              <w:t>olaparib</w:t>
            </w:r>
            <w:proofErr w:type="spellEnd"/>
            <w:r w:rsidR="00457A14">
              <w:t xml:space="preserve"> maintenance monotherapy: an updated analysis from a randomised, placebo controlled double blind Phase II trial.  This report includes the final overall survival results for the intent to treat and BRCA1/2 mutant subgroups as well as additional analyses in BRCA mutant subgroups</w:t>
            </w:r>
          </w:p>
        </w:tc>
        <w:tc>
          <w:tcPr>
            <w:tcW w:w="1962" w:type="pct"/>
          </w:tcPr>
          <w:p w:rsidR="00CA7DF4" w:rsidRDefault="005B57E8" w:rsidP="00496A6E">
            <w:pPr>
              <w:rPr>
                <w:szCs w:val="20"/>
              </w:rPr>
            </w:pPr>
            <w:hyperlink r:id="rId16" w:tooltip="Link to Lancet Oncology article" w:history="1">
              <w:r w:rsidR="00CA7DF4" w:rsidRPr="001610B7">
                <w:rPr>
                  <w:rStyle w:val="Hyperlink"/>
                  <w:szCs w:val="20"/>
                </w:rPr>
                <w:t>http://www.thelancet.com/pdfs/journals/lanonc/PIIS1470-2045(16)30376-X.pdf</w:t>
              </w:r>
            </w:hyperlink>
          </w:p>
          <w:p w:rsidR="00610946" w:rsidRDefault="0012369A" w:rsidP="00496A6E">
            <w:pPr>
              <w:rPr>
                <w:szCs w:val="20"/>
              </w:rPr>
            </w:pPr>
            <w:r>
              <w:rPr>
                <w:szCs w:val="20"/>
              </w:rPr>
              <w:t xml:space="preserve">Ledermann JA, Harter P, </w:t>
            </w:r>
            <w:proofErr w:type="spellStart"/>
            <w:r>
              <w:rPr>
                <w:szCs w:val="20"/>
              </w:rPr>
              <w:t>Gourley</w:t>
            </w:r>
            <w:proofErr w:type="spellEnd"/>
            <w:r>
              <w:rPr>
                <w:szCs w:val="20"/>
              </w:rPr>
              <w:t xml:space="preserve"> C, Friedlander M, </w:t>
            </w:r>
            <w:r w:rsidRPr="0012369A">
              <w:rPr>
                <w:i/>
                <w:szCs w:val="20"/>
              </w:rPr>
              <w:t xml:space="preserve">et. </w:t>
            </w:r>
            <w:proofErr w:type="gramStart"/>
            <w:r w:rsidRPr="0012369A">
              <w:rPr>
                <w:i/>
                <w:szCs w:val="20"/>
              </w:rPr>
              <w:t>al</w:t>
            </w:r>
            <w:proofErr w:type="gramEnd"/>
            <w:r w:rsidRPr="0012369A">
              <w:rPr>
                <w:i/>
                <w:szCs w:val="20"/>
              </w:rPr>
              <w:t>.</w:t>
            </w:r>
            <w:r>
              <w:rPr>
                <w:szCs w:val="20"/>
              </w:rPr>
              <w:t xml:space="preserve"> </w:t>
            </w:r>
          </w:p>
          <w:p w:rsidR="0012369A" w:rsidRPr="00063036" w:rsidRDefault="0012369A" w:rsidP="00496A6E">
            <w:pPr>
              <w:rPr>
                <w:szCs w:val="20"/>
              </w:rPr>
            </w:pPr>
            <w:r w:rsidRPr="0012369A">
              <w:rPr>
                <w:i/>
                <w:szCs w:val="20"/>
              </w:rPr>
              <w:t>Lancet Oncology</w:t>
            </w:r>
            <w:r>
              <w:rPr>
                <w:szCs w:val="20"/>
              </w:rPr>
              <w:t xml:space="preserve">, 2016, </w:t>
            </w:r>
            <w:r w:rsidRPr="00380F00">
              <w:rPr>
                <w:b/>
                <w:szCs w:val="20"/>
              </w:rPr>
              <w:t>17</w:t>
            </w:r>
            <w:r>
              <w:rPr>
                <w:szCs w:val="20"/>
              </w:rPr>
              <w:t xml:space="preserve"> (November 2016): 1579-89.</w:t>
            </w:r>
          </w:p>
        </w:tc>
        <w:tc>
          <w:tcPr>
            <w:tcW w:w="549" w:type="pct"/>
          </w:tcPr>
          <w:p w:rsidR="00610946" w:rsidRPr="00063036" w:rsidRDefault="00A73E44" w:rsidP="00DD308E">
            <w:pPr>
              <w:rPr>
                <w:szCs w:val="20"/>
              </w:rPr>
            </w:pPr>
            <w:r>
              <w:rPr>
                <w:szCs w:val="20"/>
              </w:rPr>
              <w:t xml:space="preserve">November </w:t>
            </w:r>
            <w:r w:rsidR="00D02728">
              <w:rPr>
                <w:szCs w:val="20"/>
              </w:rPr>
              <w:t>2016</w:t>
            </w:r>
          </w:p>
        </w:tc>
      </w:tr>
      <w:tr w:rsidR="00610946" w:rsidTr="00610946">
        <w:trPr>
          <w:cantSplit/>
        </w:trPr>
        <w:tc>
          <w:tcPr>
            <w:tcW w:w="5000" w:type="pct"/>
            <w:gridSpan w:val="6"/>
            <w:shd w:val="clear" w:color="auto" w:fill="F2F2F2" w:themeFill="background1" w:themeFillShade="F2"/>
          </w:tcPr>
          <w:p w:rsidR="00610946" w:rsidRPr="00063036" w:rsidRDefault="00610946" w:rsidP="00DD308E">
            <w:pPr>
              <w:rPr>
                <w:szCs w:val="20"/>
              </w:rPr>
            </w:pPr>
            <w:r>
              <w:rPr>
                <w:szCs w:val="20"/>
              </w:rPr>
              <w:t xml:space="preserve">Additional </w:t>
            </w:r>
            <w:r w:rsidR="00FD1FF9">
              <w:rPr>
                <w:szCs w:val="20"/>
              </w:rPr>
              <w:t xml:space="preserve">diagnostic </w:t>
            </w:r>
            <w:r>
              <w:rPr>
                <w:szCs w:val="20"/>
              </w:rPr>
              <w:t>studies</w:t>
            </w:r>
          </w:p>
        </w:tc>
      </w:tr>
      <w:tr w:rsidR="008D6410" w:rsidTr="00C72A0C">
        <w:trPr>
          <w:cantSplit/>
        </w:trPr>
        <w:tc>
          <w:tcPr>
            <w:tcW w:w="201" w:type="pct"/>
          </w:tcPr>
          <w:p w:rsidR="008D6410" w:rsidRPr="00965B6B" w:rsidRDefault="00F527FA" w:rsidP="00DD308E">
            <w:pPr>
              <w:rPr>
                <w:szCs w:val="20"/>
              </w:rPr>
            </w:pPr>
            <w:r>
              <w:rPr>
                <w:szCs w:val="20"/>
              </w:rPr>
              <w:t>2</w:t>
            </w:r>
            <w:r w:rsidR="008D6410">
              <w:rPr>
                <w:szCs w:val="20"/>
              </w:rPr>
              <w:t>.</w:t>
            </w:r>
          </w:p>
        </w:tc>
        <w:tc>
          <w:tcPr>
            <w:tcW w:w="655" w:type="pct"/>
          </w:tcPr>
          <w:p w:rsidR="008D6410" w:rsidRPr="00063036" w:rsidRDefault="00063036" w:rsidP="00DD308E">
            <w:pPr>
              <w:rPr>
                <w:szCs w:val="20"/>
              </w:rPr>
            </w:pPr>
            <w:r w:rsidRPr="00063036">
              <w:rPr>
                <w:szCs w:val="20"/>
              </w:rPr>
              <w:t>Comparative diagnostic study</w:t>
            </w:r>
          </w:p>
        </w:tc>
        <w:tc>
          <w:tcPr>
            <w:tcW w:w="532" w:type="pct"/>
          </w:tcPr>
          <w:p w:rsidR="008D6410" w:rsidRPr="00063036" w:rsidRDefault="008D6410" w:rsidP="00E824E2">
            <w:pPr>
              <w:rPr>
                <w:szCs w:val="20"/>
              </w:rPr>
            </w:pPr>
          </w:p>
        </w:tc>
        <w:tc>
          <w:tcPr>
            <w:tcW w:w="1101" w:type="pct"/>
          </w:tcPr>
          <w:p w:rsidR="008D6410" w:rsidRPr="00063036" w:rsidRDefault="00063036" w:rsidP="00206DCC">
            <w:pPr>
              <w:rPr>
                <w:szCs w:val="20"/>
              </w:rPr>
            </w:pPr>
            <w:r>
              <w:rPr>
                <w:szCs w:val="20"/>
              </w:rPr>
              <w:t>BRCA somatic and germline mutation detection in paraffin embedded ovarian cancers by next generation sequencing</w:t>
            </w:r>
          </w:p>
        </w:tc>
        <w:tc>
          <w:tcPr>
            <w:tcW w:w="1962" w:type="pct"/>
          </w:tcPr>
          <w:p w:rsidR="00B84D20" w:rsidRDefault="005B57E8" w:rsidP="00496A6E">
            <w:pPr>
              <w:rPr>
                <w:szCs w:val="20"/>
              </w:rPr>
            </w:pPr>
            <w:hyperlink r:id="rId17" w:tooltip="link to Oncotarget website" w:history="1">
              <w:r w:rsidR="00B84D20" w:rsidRPr="001610B7">
                <w:rPr>
                  <w:rStyle w:val="Hyperlink"/>
                  <w:szCs w:val="20"/>
                </w:rPr>
                <w:t>http://www.oncotarget.com/index.php?journal=oncotarget&amp;page=article&amp;op=view&amp;path[]=6834&amp;path[]=19269</w:t>
              </w:r>
            </w:hyperlink>
          </w:p>
          <w:p w:rsidR="0012369A" w:rsidRDefault="0012369A" w:rsidP="00496A6E">
            <w:pPr>
              <w:rPr>
                <w:szCs w:val="20"/>
              </w:rPr>
            </w:pPr>
            <w:proofErr w:type="spellStart"/>
            <w:r>
              <w:rPr>
                <w:szCs w:val="20"/>
              </w:rPr>
              <w:t>Mafficini</w:t>
            </w:r>
            <w:proofErr w:type="spellEnd"/>
            <w:r>
              <w:rPr>
                <w:szCs w:val="20"/>
              </w:rPr>
              <w:t xml:space="preserve"> A, </w:t>
            </w:r>
            <w:proofErr w:type="spellStart"/>
            <w:r>
              <w:rPr>
                <w:szCs w:val="20"/>
              </w:rPr>
              <w:t>Simbolo</w:t>
            </w:r>
            <w:proofErr w:type="spellEnd"/>
            <w:r>
              <w:rPr>
                <w:szCs w:val="20"/>
              </w:rPr>
              <w:t xml:space="preserve"> M, </w:t>
            </w:r>
            <w:proofErr w:type="spellStart"/>
            <w:r>
              <w:rPr>
                <w:szCs w:val="20"/>
              </w:rPr>
              <w:t>Parisi</w:t>
            </w:r>
            <w:proofErr w:type="spellEnd"/>
            <w:r>
              <w:rPr>
                <w:szCs w:val="20"/>
              </w:rPr>
              <w:t xml:space="preserve"> A, </w:t>
            </w:r>
            <w:proofErr w:type="spellStart"/>
            <w:r>
              <w:rPr>
                <w:szCs w:val="20"/>
              </w:rPr>
              <w:t>Rusev</w:t>
            </w:r>
            <w:proofErr w:type="spellEnd"/>
            <w:r>
              <w:rPr>
                <w:szCs w:val="20"/>
              </w:rPr>
              <w:t xml:space="preserve"> B, </w:t>
            </w:r>
            <w:r w:rsidRPr="0012369A">
              <w:rPr>
                <w:i/>
                <w:szCs w:val="20"/>
              </w:rPr>
              <w:t>et. al.</w:t>
            </w:r>
          </w:p>
          <w:p w:rsidR="008D6410" w:rsidRPr="00063036" w:rsidRDefault="00063036" w:rsidP="00496A6E">
            <w:pPr>
              <w:rPr>
                <w:szCs w:val="20"/>
              </w:rPr>
            </w:pPr>
            <w:proofErr w:type="spellStart"/>
            <w:r w:rsidRPr="00957FCA">
              <w:rPr>
                <w:i/>
                <w:szCs w:val="20"/>
              </w:rPr>
              <w:t>Oncotarget</w:t>
            </w:r>
            <w:proofErr w:type="spellEnd"/>
            <w:r w:rsidR="00957FCA">
              <w:rPr>
                <w:i/>
                <w:szCs w:val="20"/>
              </w:rPr>
              <w:t>,</w:t>
            </w:r>
            <w:r w:rsidR="00957FCA">
              <w:rPr>
                <w:szCs w:val="20"/>
              </w:rPr>
              <w:t xml:space="preserve"> 2016 </w:t>
            </w:r>
            <w:r w:rsidR="00957FCA" w:rsidRPr="00957FCA">
              <w:rPr>
                <w:b/>
                <w:szCs w:val="20"/>
              </w:rPr>
              <w:t>7</w:t>
            </w:r>
            <w:r w:rsidR="00957FCA">
              <w:rPr>
                <w:szCs w:val="20"/>
              </w:rPr>
              <w:t>(2):1076</w:t>
            </w:r>
          </w:p>
        </w:tc>
        <w:tc>
          <w:tcPr>
            <w:tcW w:w="549" w:type="pct"/>
          </w:tcPr>
          <w:p w:rsidR="008D6410" w:rsidRPr="00063036" w:rsidRDefault="002A4232" w:rsidP="00DD308E">
            <w:pPr>
              <w:rPr>
                <w:szCs w:val="20"/>
              </w:rPr>
            </w:pPr>
            <w:r>
              <w:rPr>
                <w:szCs w:val="20"/>
              </w:rPr>
              <w:t xml:space="preserve">January </w:t>
            </w:r>
            <w:r w:rsidR="0012369A">
              <w:rPr>
                <w:szCs w:val="20"/>
              </w:rPr>
              <w:t>2016</w:t>
            </w:r>
          </w:p>
        </w:tc>
      </w:tr>
      <w:tr w:rsidR="00957FCA" w:rsidTr="00C72A0C">
        <w:trPr>
          <w:cantSplit/>
        </w:trPr>
        <w:tc>
          <w:tcPr>
            <w:tcW w:w="201" w:type="pct"/>
          </w:tcPr>
          <w:p w:rsidR="00957FCA" w:rsidRDefault="00F527FA" w:rsidP="00DD308E">
            <w:pPr>
              <w:rPr>
                <w:szCs w:val="20"/>
              </w:rPr>
            </w:pPr>
            <w:r>
              <w:rPr>
                <w:szCs w:val="20"/>
              </w:rPr>
              <w:lastRenderedPageBreak/>
              <w:t>3</w:t>
            </w:r>
            <w:r w:rsidR="00D6363E">
              <w:rPr>
                <w:szCs w:val="20"/>
              </w:rPr>
              <w:t xml:space="preserve">. </w:t>
            </w:r>
          </w:p>
        </w:tc>
        <w:tc>
          <w:tcPr>
            <w:tcW w:w="655" w:type="pct"/>
          </w:tcPr>
          <w:p w:rsidR="00957FCA" w:rsidRPr="00063036" w:rsidRDefault="00D6363E" w:rsidP="00DD308E">
            <w:pPr>
              <w:rPr>
                <w:szCs w:val="20"/>
              </w:rPr>
            </w:pPr>
            <w:r>
              <w:rPr>
                <w:szCs w:val="20"/>
              </w:rPr>
              <w:t>Comparative diagnostic study</w:t>
            </w:r>
          </w:p>
        </w:tc>
        <w:tc>
          <w:tcPr>
            <w:tcW w:w="532" w:type="pct"/>
          </w:tcPr>
          <w:p w:rsidR="00957FCA" w:rsidRPr="00063036" w:rsidRDefault="00957FCA" w:rsidP="00E824E2">
            <w:pPr>
              <w:rPr>
                <w:szCs w:val="20"/>
              </w:rPr>
            </w:pPr>
          </w:p>
        </w:tc>
        <w:tc>
          <w:tcPr>
            <w:tcW w:w="1101" w:type="pct"/>
          </w:tcPr>
          <w:p w:rsidR="00957FCA" w:rsidRDefault="00D6363E" w:rsidP="00206DCC">
            <w:pPr>
              <w:rPr>
                <w:szCs w:val="20"/>
              </w:rPr>
            </w:pPr>
            <w:r>
              <w:rPr>
                <w:szCs w:val="20"/>
              </w:rPr>
              <w:t>Comprehensive analysis of germline and somatic BRCA1/2 mutations in ovarian cancer population: Interim results of OVATAR prospective study</w:t>
            </w:r>
          </w:p>
        </w:tc>
        <w:tc>
          <w:tcPr>
            <w:tcW w:w="1962" w:type="pct"/>
          </w:tcPr>
          <w:p w:rsidR="00FD1FF9" w:rsidRDefault="00B12EF5" w:rsidP="00496A6E">
            <w:pPr>
              <w:rPr>
                <w:szCs w:val="20"/>
              </w:rPr>
            </w:pPr>
            <w:proofErr w:type="spellStart"/>
            <w:r>
              <w:rPr>
                <w:szCs w:val="20"/>
              </w:rPr>
              <w:t>Tyulyandina</w:t>
            </w:r>
            <w:proofErr w:type="spellEnd"/>
            <w:r>
              <w:rPr>
                <w:szCs w:val="20"/>
              </w:rPr>
              <w:t xml:space="preserve"> A, </w:t>
            </w:r>
            <w:proofErr w:type="spellStart"/>
            <w:r>
              <w:rPr>
                <w:szCs w:val="20"/>
              </w:rPr>
              <w:t>Kekeeva</w:t>
            </w:r>
            <w:proofErr w:type="spellEnd"/>
            <w:r>
              <w:rPr>
                <w:szCs w:val="20"/>
              </w:rPr>
              <w:t xml:space="preserve"> T, </w:t>
            </w:r>
            <w:proofErr w:type="spellStart"/>
            <w:r>
              <w:rPr>
                <w:szCs w:val="20"/>
              </w:rPr>
              <w:t>Karaseva</w:t>
            </w:r>
            <w:proofErr w:type="spellEnd"/>
            <w:r>
              <w:rPr>
                <w:szCs w:val="20"/>
              </w:rPr>
              <w:t xml:space="preserve"> V, </w:t>
            </w:r>
            <w:proofErr w:type="spellStart"/>
            <w:r>
              <w:rPr>
                <w:szCs w:val="20"/>
              </w:rPr>
              <w:t>Gorbunova</w:t>
            </w:r>
            <w:proofErr w:type="spellEnd"/>
            <w:r>
              <w:rPr>
                <w:szCs w:val="20"/>
              </w:rPr>
              <w:t xml:space="preserve"> V</w:t>
            </w:r>
            <w:r w:rsidR="00FD1FF9">
              <w:rPr>
                <w:szCs w:val="20"/>
              </w:rPr>
              <w:t xml:space="preserve">, </w:t>
            </w:r>
            <w:r w:rsidR="00FD1FF9" w:rsidRPr="00FD1FF9">
              <w:rPr>
                <w:i/>
                <w:szCs w:val="20"/>
              </w:rPr>
              <w:t xml:space="preserve">et. </w:t>
            </w:r>
            <w:proofErr w:type="gramStart"/>
            <w:r w:rsidR="00FD1FF9" w:rsidRPr="00FD1FF9">
              <w:rPr>
                <w:i/>
                <w:szCs w:val="20"/>
              </w:rPr>
              <w:t>al</w:t>
            </w:r>
            <w:proofErr w:type="gramEnd"/>
            <w:r w:rsidR="00FD1FF9" w:rsidRPr="00FD1FF9">
              <w:rPr>
                <w:i/>
                <w:szCs w:val="20"/>
              </w:rPr>
              <w:t>.</w:t>
            </w:r>
            <w:r w:rsidR="00FD1FF9">
              <w:rPr>
                <w:szCs w:val="20"/>
              </w:rPr>
              <w:t xml:space="preserve"> </w:t>
            </w:r>
          </w:p>
          <w:p w:rsidR="00C72A0C" w:rsidRPr="0006532F" w:rsidRDefault="00D6363E" w:rsidP="00C72A0C">
            <w:pPr>
              <w:rPr>
                <w:szCs w:val="20"/>
              </w:rPr>
            </w:pPr>
            <w:r>
              <w:rPr>
                <w:i/>
                <w:szCs w:val="20"/>
              </w:rPr>
              <w:t xml:space="preserve">Journal of Clinical Oncology, </w:t>
            </w:r>
            <w:r w:rsidRPr="00D6363E">
              <w:rPr>
                <w:szCs w:val="20"/>
              </w:rPr>
              <w:t>2017</w:t>
            </w:r>
            <w:r>
              <w:rPr>
                <w:szCs w:val="20"/>
              </w:rPr>
              <w:t xml:space="preserve"> </w:t>
            </w:r>
            <w:r w:rsidRPr="00B35BFB">
              <w:rPr>
                <w:b/>
                <w:szCs w:val="20"/>
              </w:rPr>
              <w:t>35</w:t>
            </w:r>
            <w:r w:rsidR="00B35BFB">
              <w:rPr>
                <w:szCs w:val="20"/>
              </w:rPr>
              <w:t>(15 Suppl. 1 May):Abstract e23109</w:t>
            </w:r>
          </w:p>
        </w:tc>
        <w:tc>
          <w:tcPr>
            <w:tcW w:w="549" w:type="pct"/>
          </w:tcPr>
          <w:p w:rsidR="00957FCA" w:rsidRPr="00063036" w:rsidRDefault="00A73E44" w:rsidP="00DD308E">
            <w:pPr>
              <w:rPr>
                <w:szCs w:val="20"/>
              </w:rPr>
            </w:pPr>
            <w:r>
              <w:rPr>
                <w:szCs w:val="20"/>
              </w:rPr>
              <w:t>May 2016</w:t>
            </w:r>
          </w:p>
        </w:tc>
      </w:tr>
      <w:tr w:rsidR="00D6363E" w:rsidTr="00C72A0C">
        <w:trPr>
          <w:cantSplit/>
        </w:trPr>
        <w:tc>
          <w:tcPr>
            <w:tcW w:w="201" w:type="pct"/>
          </w:tcPr>
          <w:p w:rsidR="00D6363E" w:rsidRDefault="00F527FA" w:rsidP="00DD308E">
            <w:pPr>
              <w:rPr>
                <w:szCs w:val="20"/>
              </w:rPr>
            </w:pPr>
            <w:r>
              <w:rPr>
                <w:szCs w:val="20"/>
              </w:rPr>
              <w:t>4</w:t>
            </w:r>
            <w:r w:rsidR="00371E9F">
              <w:rPr>
                <w:szCs w:val="20"/>
              </w:rPr>
              <w:t>.</w:t>
            </w:r>
          </w:p>
        </w:tc>
        <w:tc>
          <w:tcPr>
            <w:tcW w:w="655" w:type="pct"/>
          </w:tcPr>
          <w:p w:rsidR="00D6363E" w:rsidRPr="00063036" w:rsidRDefault="00A73E44" w:rsidP="00DD308E">
            <w:pPr>
              <w:rPr>
                <w:szCs w:val="20"/>
              </w:rPr>
            </w:pPr>
            <w:r>
              <w:rPr>
                <w:szCs w:val="20"/>
              </w:rPr>
              <w:t>Comparative diagnostic study</w:t>
            </w:r>
          </w:p>
        </w:tc>
        <w:tc>
          <w:tcPr>
            <w:tcW w:w="532" w:type="pct"/>
          </w:tcPr>
          <w:p w:rsidR="00D6363E" w:rsidRPr="00063036" w:rsidRDefault="00D6363E" w:rsidP="00E824E2">
            <w:pPr>
              <w:rPr>
                <w:szCs w:val="20"/>
              </w:rPr>
            </w:pPr>
          </w:p>
        </w:tc>
        <w:tc>
          <w:tcPr>
            <w:tcW w:w="1101" w:type="pct"/>
          </w:tcPr>
          <w:p w:rsidR="00D6363E" w:rsidRDefault="002A4232" w:rsidP="00206DCC">
            <w:pPr>
              <w:rPr>
                <w:szCs w:val="20"/>
              </w:rPr>
            </w:pPr>
            <w:r>
              <w:rPr>
                <w:szCs w:val="20"/>
              </w:rPr>
              <w:t xml:space="preserve">Cohort study of primary and recurrent ovarian cancer patients using </w:t>
            </w:r>
            <w:r w:rsidR="00FC572D">
              <w:rPr>
                <w:szCs w:val="20"/>
              </w:rPr>
              <w:t xml:space="preserve">next generation sequencing of </w:t>
            </w:r>
            <w:r>
              <w:rPr>
                <w:szCs w:val="20"/>
              </w:rPr>
              <w:t xml:space="preserve">DNA derived from blood samples and </w:t>
            </w:r>
            <w:r w:rsidR="00FC572D">
              <w:rPr>
                <w:szCs w:val="20"/>
              </w:rPr>
              <w:t xml:space="preserve">a customised Agilent gene panel for </w:t>
            </w:r>
            <w:r>
              <w:rPr>
                <w:szCs w:val="20"/>
              </w:rPr>
              <w:t>formalin-fixed paraffin-</w:t>
            </w:r>
            <w:proofErr w:type="spellStart"/>
            <w:r>
              <w:rPr>
                <w:szCs w:val="20"/>
              </w:rPr>
              <w:t>embeded</w:t>
            </w:r>
            <w:proofErr w:type="spellEnd"/>
            <w:r>
              <w:rPr>
                <w:szCs w:val="20"/>
              </w:rPr>
              <w:t xml:space="preserve"> (FFPE)</w:t>
            </w:r>
          </w:p>
        </w:tc>
        <w:tc>
          <w:tcPr>
            <w:tcW w:w="1962" w:type="pct"/>
          </w:tcPr>
          <w:p w:rsidR="00D6363E" w:rsidRDefault="00A73E44" w:rsidP="00496A6E">
            <w:pPr>
              <w:rPr>
                <w:szCs w:val="20"/>
              </w:rPr>
            </w:pPr>
            <w:proofErr w:type="spellStart"/>
            <w:r>
              <w:rPr>
                <w:szCs w:val="20"/>
              </w:rPr>
              <w:t>Hahnen</w:t>
            </w:r>
            <w:proofErr w:type="spellEnd"/>
            <w:r>
              <w:rPr>
                <w:szCs w:val="20"/>
              </w:rPr>
              <w:t xml:space="preserve"> E, Baumann KH, </w:t>
            </w:r>
            <w:proofErr w:type="spellStart"/>
            <w:r>
              <w:rPr>
                <w:szCs w:val="20"/>
              </w:rPr>
              <w:t>Heimbach</w:t>
            </w:r>
            <w:proofErr w:type="spellEnd"/>
            <w:r>
              <w:rPr>
                <w:szCs w:val="20"/>
              </w:rPr>
              <w:t xml:space="preserve"> A, </w:t>
            </w:r>
            <w:proofErr w:type="spellStart"/>
            <w:r>
              <w:rPr>
                <w:szCs w:val="20"/>
              </w:rPr>
              <w:t>Reuss</w:t>
            </w:r>
            <w:proofErr w:type="spellEnd"/>
            <w:r>
              <w:rPr>
                <w:szCs w:val="20"/>
              </w:rPr>
              <w:t xml:space="preserve"> A, et. al.</w:t>
            </w:r>
          </w:p>
          <w:p w:rsidR="00A73E44" w:rsidRDefault="00A73E44" w:rsidP="00496A6E">
            <w:pPr>
              <w:rPr>
                <w:szCs w:val="20"/>
              </w:rPr>
            </w:pPr>
            <w:r>
              <w:rPr>
                <w:szCs w:val="20"/>
              </w:rPr>
              <w:t xml:space="preserve">Journal of Clinical Oncology, 2016, </w:t>
            </w:r>
            <w:r w:rsidRPr="00380F00">
              <w:rPr>
                <w:b/>
                <w:szCs w:val="20"/>
              </w:rPr>
              <w:t>34</w:t>
            </w:r>
            <w:r>
              <w:rPr>
                <w:szCs w:val="20"/>
              </w:rPr>
              <w:t>(Supplement 15 May 2016):</w:t>
            </w:r>
          </w:p>
          <w:p w:rsidR="00A73E44" w:rsidRPr="00A73E44" w:rsidRDefault="00A73E44" w:rsidP="00496A6E">
            <w:pPr>
              <w:rPr>
                <w:szCs w:val="20"/>
              </w:rPr>
            </w:pPr>
          </w:p>
        </w:tc>
        <w:tc>
          <w:tcPr>
            <w:tcW w:w="549" w:type="pct"/>
          </w:tcPr>
          <w:p w:rsidR="00D6363E" w:rsidRPr="00063036" w:rsidRDefault="00A73E44" w:rsidP="00DD308E">
            <w:pPr>
              <w:rPr>
                <w:szCs w:val="20"/>
              </w:rPr>
            </w:pPr>
            <w:r>
              <w:rPr>
                <w:szCs w:val="20"/>
              </w:rPr>
              <w:t>May 2016</w:t>
            </w:r>
          </w:p>
        </w:tc>
      </w:tr>
      <w:tr w:rsidR="00B35BFB" w:rsidTr="00C72A0C">
        <w:trPr>
          <w:cantSplit/>
        </w:trPr>
        <w:tc>
          <w:tcPr>
            <w:tcW w:w="201" w:type="pct"/>
          </w:tcPr>
          <w:p w:rsidR="00B35BFB" w:rsidRDefault="00F527FA" w:rsidP="00DD308E">
            <w:pPr>
              <w:rPr>
                <w:szCs w:val="20"/>
              </w:rPr>
            </w:pPr>
            <w:r>
              <w:rPr>
                <w:szCs w:val="20"/>
              </w:rPr>
              <w:t>5</w:t>
            </w:r>
            <w:r w:rsidR="00371E9F">
              <w:rPr>
                <w:szCs w:val="20"/>
              </w:rPr>
              <w:t>.</w:t>
            </w:r>
          </w:p>
        </w:tc>
        <w:tc>
          <w:tcPr>
            <w:tcW w:w="655" w:type="pct"/>
          </w:tcPr>
          <w:p w:rsidR="00B35BFB" w:rsidRPr="00063036" w:rsidRDefault="00855378" w:rsidP="00DD308E">
            <w:pPr>
              <w:rPr>
                <w:szCs w:val="20"/>
              </w:rPr>
            </w:pPr>
            <w:r>
              <w:rPr>
                <w:szCs w:val="20"/>
              </w:rPr>
              <w:t>Comparative diagnostic study</w:t>
            </w:r>
          </w:p>
        </w:tc>
        <w:tc>
          <w:tcPr>
            <w:tcW w:w="532" w:type="pct"/>
          </w:tcPr>
          <w:p w:rsidR="00B35BFB" w:rsidRPr="00063036" w:rsidRDefault="00B35BFB" w:rsidP="00E824E2">
            <w:pPr>
              <w:rPr>
                <w:szCs w:val="20"/>
              </w:rPr>
            </w:pPr>
          </w:p>
        </w:tc>
        <w:tc>
          <w:tcPr>
            <w:tcW w:w="1101" w:type="pct"/>
          </w:tcPr>
          <w:p w:rsidR="00B35BFB" w:rsidRDefault="002D47C2" w:rsidP="00206DCC">
            <w:pPr>
              <w:rPr>
                <w:szCs w:val="20"/>
              </w:rPr>
            </w:pPr>
            <w:r>
              <w:rPr>
                <w:szCs w:val="20"/>
              </w:rPr>
              <w:t xml:space="preserve">DNA isolated from 42 ovarian tumour samples underwent full sequence and large rearrangement analysis using next generation sequencing </w:t>
            </w:r>
          </w:p>
        </w:tc>
        <w:tc>
          <w:tcPr>
            <w:tcW w:w="1962" w:type="pct"/>
          </w:tcPr>
          <w:p w:rsidR="00B35BFB" w:rsidRDefault="00FC572D" w:rsidP="00496A6E">
            <w:pPr>
              <w:rPr>
                <w:szCs w:val="20"/>
              </w:rPr>
            </w:pPr>
            <w:proofErr w:type="spellStart"/>
            <w:r>
              <w:rPr>
                <w:szCs w:val="20"/>
              </w:rPr>
              <w:t>Wehnelt</w:t>
            </w:r>
            <w:proofErr w:type="spellEnd"/>
            <w:r>
              <w:rPr>
                <w:szCs w:val="20"/>
              </w:rPr>
              <w:t xml:space="preserve"> S, </w:t>
            </w:r>
            <w:proofErr w:type="spellStart"/>
            <w:r>
              <w:rPr>
                <w:szCs w:val="20"/>
              </w:rPr>
              <w:t>Timms</w:t>
            </w:r>
            <w:proofErr w:type="spellEnd"/>
            <w:r>
              <w:rPr>
                <w:szCs w:val="20"/>
              </w:rPr>
              <w:t xml:space="preserve"> K, Copeland K, Hayward C, et. al.</w:t>
            </w:r>
          </w:p>
          <w:p w:rsidR="00FC572D" w:rsidRPr="00FC572D" w:rsidRDefault="00FC572D" w:rsidP="00496A6E">
            <w:pPr>
              <w:rPr>
                <w:szCs w:val="20"/>
              </w:rPr>
            </w:pPr>
            <w:r>
              <w:rPr>
                <w:szCs w:val="20"/>
              </w:rPr>
              <w:t xml:space="preserve">Oncology Research and Treatment, 2016, </w:t>
            </w:r>
            <w:r w:rsidRPr="00380F00">
              <w:rPr>
                <w:b/>
                <w:szCs w:val="20"/>
              </w:rPr>
              <w:t>39</w:t>
            </w:r>
            <w:r>
              <w:rPr>
                <w:szCs w:val="20"/>
              </w:rPr>
              <w:t xml:space="preserve"> (Supplement 1</w:t>
            </w:r>
            <w:r w:rsidR="002D47C2">
              <w:rPr>
                <w:szCs w:val="20"/>
              </w:rPr>
              <w:t>) 95 February 2016</w:t>
            </w:r>
          </w:p>
        </w:tc>
        <w:tc>
          <w:tcPr>
            <w:tcW w:w="549" w:type="pct"/>
          </w:tcPr>
          <w:p w:rsidR="00B35BFB" w:rsidRPr="00063036" w:rsidRDefault="002D47C2" w:rsidP="00DD308E">
            <w:pPr>
              <w:rPr>
                <w:szCs w:val="20"/>
              </w:rPr>
            </w:pPr>
            <w:r>
              <w:rPr>
                <w:szCs w:val="20"/>
              </w:rPr>
              <w:t>February 2016</w:t>
            </w:r>
          </w:p>
        </w:tc>
      </w:tr>
      <w:tr w:rsidR="00371E9F" w:rsidTr="00C72A0C">
        <w:trPr>
          <w:cantSplit/>
        </w:trPr>
        <w:tc>
          <w:tcPr>
            <w:tcW w:w="201" w:type="pct"/>
          </w:tcPr>
          <w:p w:rsidR="00371E9F" w:rsidRDefault="003A54F3" w:rsidP="00DD308E">
            <w:pPr>
              <w:rPr>
                <w:szCs w:val="20"/>
              </w:rPr>
            </w:pPr>
            <w:r>
              <w:rPr>
                <w:szCs w:val="20"/>
              </w:rPr>
              <w:t>6</w:t>
            </w:r>
            <w:r w:rsidR="00371E9F">
              <w:rPr>
                <w:szCs w:val="20"/>
              </w:rPr>
              <w:t>.</w:t>
            </w:r>
          </w:p>
        </w:tc>
        <w:tc>
          <w:tcPr>
            <w:tcW w:w="655" w:type="pct"/>
          </w:tcPr>
          <w:p w:rsidR="00371E9F" w:rsidRPr="00063036" w:rsidRDefault="00A73664" w:rsidP="00DD308E">
            <w:pPr>
              <w:rPr>
                <w:szCs w:val="20"/>
              </w:rPr>
            </w:pPr>
            <w:r>
              <w:rPr>
                <w:szCs w:val="20"/>
              </w:rPr>
              <w:t>Comparative diagnostic study</w:t>
            </w:r>
          </w:p>
        </w:tc>
        <w:tc>
          <w:tcPr>
            <w:tcW w:w="532" w:type="pct"/>
          </w:tcPr>
          <w:p w:rsidR="00371E9F" w:rsidRPr="00063036" w:rsidRDefault="00371E9F" w:rsidP="00E824E2">
            <w:pPr>
              <w:rPr>
                <w:szCs w:val="20"/>
              </w:rPr>
            </w:pPr>
          </w:p>
        </w:tc>
        <w:tc>
          <w:tcPr>
            <w:tcW w:w="1101" w:type="pct"/>
          </w:tcPr>
          <w:p w:rsidR="00371E9F" w:rsidRDefault="0006532F" w:rsidP="00206DCC">
            <w:pPr>
              <w:rPr>
                <w:szCs w:val="20"/>
              </w:rPr>
            </w:pPr>
            <w:r>
              <w:rPr>
                <w:szCs w:val="20"/>
              </w:rPr>
              <w:t>Prevalence and clinical significance of BRCA1/2 germline and somatic mutations in Taiwanese patients with ovarian cancer</w:t>
            </w:r>
          </w:p>
        </w:tc>
        <w:tc>
          <w:tcPr>
            <w:tcW w:w="1962" w:type="pct"/>
          </w:tcPr>
          <w:p w:rsidR="00CA7DF4" w:rsidRDefault="005B57E8" w:rsidP="00496A6E">
            <w:pPr>
              <w:rPr>
                <w:szCs w:val="20"/>
              </w:rPr>
            </w:pPr>
            <w:hyperlink r:id="rId18" w:tooltip="link to oncotarget website" w:history="1">
              <w:r w:rsidR="00CA7DF4" w:rsidRPr="001610B7">
                <w:rPr>
                  <w:rStyle w:val="Hyperlink"/>
                  <w:szCs w:val="20"/>
                </w:rPr>
                <w:t>http://www.oncotarget.com/index.php?journal=oncotarget&amp;page=article&amp;op=view&amp;path[]=13456&amp;path[]=44022</w:t>
              </w:r>
            </w:hyperlink>
          </w:p>
          <w:p w:rsidR="0006532F" w:rsidRPr="0006532F" w:rsidRDefault="0006532F" w:rsidP="00496A6E">
            <w:pPr>
              <w:rPr>
                <w:szCs w:val="20"/>
              </w:rPr>
            </w:pPr>
            <w:r>
              <w:rPr>
                <w:szCs w:val="20"/>
              </w:rPr>
              <w:t xml:space="preserve">Chao A, Chang T-C, </w:t>
            </w:r>
            <w:proofErr w:type="spellStart"/>
            <w:r>
              <w:rPr>
                <w:szCs w:val="20"/>
              </w:rPr>
              <w:t>Lapke</w:t>
            </w:r>
            <w:proofErr w:type="spellEnd"/>
            <w:r>
              <w:rPr>
                <w:szCs w:val="20"/>
              </w:rPr>
              <w:t xml:space="preserve"> N, Jung S-M, et. al.</w:t>
            </w:r>
          </w:p>
          <w:p w:rsidR="00371E9F" w:rsidRPr="0006532F" w:rsidRDefault="0006532F" w:rsidP="00496A6E">
            <w:pPr>
              <w:rPr>
                <w:szCs w:val="20"/>
              </w:rPr>
            </w:pPr>
            <w:proofErr w:type="spellStart"/>
            <w:r>
              <w:rPr>
                <w:i/>
                <w:szCs w:val="20"/>
              </w:rPr>
              <w:t>Oncotarget</w:t>
            </w:r>
            <w:proofErr w:type="spellEnd"/>
            <w:r>
              <w:rPr>
                <w:szCs w:val="20"/>
              </w:rPr>
              <w:t xml:space="preserve">, 2016, </w:t>
            </w:r>
            <w:r w:rsidRPr="00380F00">
              <w:rPr>
                <w:b/>
                <w:szCs w:val="20"/>
              </w:rPr>
              <w:t>7</w:t>
            </w:r>
            <w:r>
              <w:rPr>
                <w:szCs w:val="20"/>
              </w:rPr>
              <w:t>(51):85529-85541.</w:t>
            </w:r>
          </w:p>
        </w:tc>
        <w:tc>
          <w:tcPr>
            <w:tcW w:w="549" w:type="pct"/>
          </w:tcPr>
          <w:p w:rsidR="00371E9F" w:rsidRPr="00063036" w:rsidRDefault="00A73664" w:rsidP="00DD308E">
            <w:pPr>
              <w:rPr>
                <w:szCs w:val="20"/>
              </w:rPr>
            </w:pPr>
            <w:r>
              <w:rPr>
                <w:szCs w:val="20"/>
              </w:rPr>
              <w:t>November 2016</w:t>
            </w:r>
          </w:p>
        </w:tc>
      </w:tr>
      <w:tr w:rsidR="00371E9F" w:rsidTr="00C72A0C">
        <w:trPr>
          <w:cantSplit/>
        </w:trPr>
        <w:tc>
          <w:tcPr>
            <w:tcW w:w="201" w:type="pct"/>
          </w:tcPr>
          <w:p w:rsidR="00371E9F" w:rsidRDefault="003A54F3" w:rsidP="00DD308E">
            <w:pPr>
              <w:rPr>
                <w:szCs w:val="20"/>
              </w:rPr>
            </w:pPr>
            <w:r>
              <w:rPr>
                <w:szCs w:val="20"/>
              </w:rPr>
              <w:lastRenderedPageBreak/>
              <w:t>7</w:t>
            </w:r>
            <w:r w:rsidR="00371E9F">
              <w:rPr>
                <w:szCs w:val="20"/>
              </w:rPr>
              <w:t>.</w:t>
            </w:r>
          </w:p>
        </w:tc>
        <w:tc>
          <w:tcPr>
            <w:tcW w:w="655" w:type="pct"/>
          </w:tcPr>
          <w:p w:rsidR="00371E9F" w:rsidRPr="00063036" w:rsidRDefault="000F1A7E" w:rsidP="00DD308E">
            <w:pPr>
              <w:rPr>
                <w:szCs w:val="20"/>
              </w:rPr>
            </w:pPr>
            <w:r>
              <w:rPr>
                <w:szCs w:val="20"/>
              </w:rPr>
              <w:t>Comparative diagnostic study</w:t>
            </w:r>
          </w:p>
        </w:tc>
        <w:tc>
          <w:tcPr>
            <w:tcW w:w="532" w:type="pct"/>
          </w:tcPr>
          <w:p w:rsidR="00371E9F" w:rsidRPr="00063036" w:rsidRDefault="00371E9F" w:rsidP="00E824E2">
            <w:pPr>
              <w:rPr>
                <w:szCs w:val="20"/>
              </w:rPr>
            </w:pPr>
          </w:p>
        </w:tc>
        <w:tc>
          <w:tcPr>
            <w:tcW w:w="1101" w:type="pct"/>
          </w:tcPr>
          <w:p w:rsidR="00371E9F" w:rsidRDefault="000F1A7E" w:rsidP="00206DCC">
            <w:pPr>
              <w:rPr>
                <w:szCs w:val="20"/>
              </w:rPr>
            </w:pPr>
            <w:r>
              <w:rPr>
                <w:szCs w:val="20"/>
              </w:rPr>
              <w:t xml:space="preserve">This study aimed to identify the frequency and spectrum of germline and somatic BRCA1/2 gene mutations in a cohort of 100 women with serous ovarian cancer.  Mutational analysis of BRCA1/2 genes was performed on tumour tissue (FFPE) using next generation sequencing.  Germline BRCA1/2 mutation status </w:t>
            </w:r>
            <w:r w:rsidR="00B17DF0">
              <w:rPr>
                <w:szCs w:val="20"/>
              </w:rPr>
              <w:t xml:space="preserve">of non-neoplastic tissue </w:t>
            </w:r>
            <w:r>
              <w:rPr>
                <w:szCs w:val="20"/>
              </w:rPr>
              <w:t xml:space="preserve">was determined </w:t>
            </w:r>
            <w:r w:rsidR="00B17DF0">
              <w:rPr>
                <w:szCs w:val="20"/>
              </w:rPr>
              <w:t>using bidirectional Sanger sequencing.</w:t>
            </w:r>
          </w:p>
        </w:tc>
        <w:tc>
          <w:tcPr>
            <w:tcW w:w="1962" w:type="pct"/>
          </w:tcPr>
          <w:p w:rsidR="00A73664" w:rsidRDefault="00A73664" w:rsidP="00A73664">
            <w:pPr>
              <w:rPr>
                <w:szCs w:val="20"/>
              </w:rPr>
            </w:pPr>
            <w:proofErr w:type="spellStart"/>
            <w:r>
              <w:rPr>
                <w:szCs w:val="20"/>
              </w:rPr>
              <w:t>Koczkowska</w:t>
            </w:r>
            <w:proofErr w:type="spellEnd"/>
            <w:r>
              <w:rPr>
                <w:szCs w:val="20"/>
              </w:rPr>
              <w:t xml:space="preserve"> M, </w:t>
            </w:r>
            <w:proofErr w:type="spellStart"/>
            <w:r>
              <w:rPr>
                <w:szCs w:val="20"/>
              </w:rPr>
              <w:t>Zuk</w:t>
            </w:r>
            <w:proofErr w:type="spellEnd"/>
            <w:r>
              <w:rPr>
                <w:szCs w:val="20"/>
              </w:rPr>
              <w:t xml:space="preserve"> M, </w:t>
            </w:r>
            <w:proofErr w:type="spellStart"/>
            <w:r>
              <w:rPr>
                <w:szCs w:val="20"/>
              </w:rPr>
              <w:t>Gorczyn</w:t>
            </w:r>
            <w:r w:rsidR="00B12EF5">
              <w:rPr>
                <w:szCs w:val="20"/>
              </w:rPr>
              <w:t>ski</w:t>
            </w:r>
            <w:proofErr w:type="spellEnd"/>
            <w:r w:rsidR="00B12EF5">
              <w:rPr>
                <w:szCs w:val="20"/>
              </w:rPr>
              <w:t xml:space="preserve"> A, </w:t>
            </w:r>
            <w:proofErr w:type="spellStart"/>
            <w:r w:rsidR="00B12EF5">
              <w:rPr>
                <w:szCs w:val="20"/>
              </w:rPr>
              <w:t>Ratajska</w:t>
            </w:r>
            <w:proofErr w:type="spellEnd"/>
            <w:r w:rsidR="00B12EF5">
              <w:rPr>
                <w:szCs w:val="20"/>
              </w:rPr>
              <w:t xml:space="preserve"> M</w:t>
            </w:r>
            <w:r>
              <w:rPr>
                <w:szCs w:val="20"/>
              </w:rPr>
              <w:t xml:space="preserve">, </w:t>
            </w:r>
            <w:r w:rsidRPr="00FD1FF9">
              <w:rPr>
                <w:i/>
                <w:szCs w:val="20"/>
              </w:rPr>
              <w:t xml:space="preserve">et. </w:t>
            </w:r>
            <w:proofErr w:type="gramStart"/>
            <w:r w:rsidRPr="00FD1FF9">
              <w:rPr>
                <w:i/>
                <w:szCs w:val="20"/>
              </w:rPr>
              <w:t>al</w:t>
            </w:r>
            <w:proofErr w:type="gramEnd"/>
            <w:r w:rsidRPr="00FD1FF9">
              <w:rPr>
                <w:i/>
                <w:szCs w:val="20"/>
              </w:rPr>
              <w:t>.</w:t>
            </w:r>
            <w:r>
              <w:rPr>
                <w:szCs w:val="20"/>
              </w:rPr>
              <w:t xml:space="preserve"> </w:t>
            </w:r>
          </w:p>
          <w:p w:rsidR="00371E9F" w:rsidRPr="00380F00" w:rsidRDefault="00B12EF5" w:rsidP="00496A6E">
            <w:pPr>
              <w:rPr>
                <w:szCs w:val="20"/>
              </w:rPr>
            </w:pPr>
            <w:r>
              <w:rPr>
                <w:i/>
                <w:szCs w:val="20"/>
              </w:rPr>
              <w:t>Cancer Medicine</w:t>
            </w:r>
            <w:r w:rsidR="00380F00">
              <w:rPr>
                <w:szCs w:val="20"/>
              </w:rPr>
              <w:t xml:space="preserve">, 2016, </w:t>
            </w:r>
            <w:r w:rsidR="00380F00" w:rsidRPr="00380F00">
              <w:rPr>
                <w:b/>
                <w:szCs w:val="20"/>
              </w:rPr>
              <w:t>5</w:t>
            </w:r>
            <w:r w:rsidR="00380F00">
              <w:rPr>
                <w:szCs w:val="20"/>
              </w:rPr>
              <w:t xml:space="preserve"> (7 July):1640-1646.</w:t>
            </w:r>
          </w:p>
        </w:tc>
        <w:tc>
          <w:tcPr>
            <w:tcW w:w="549" w:type="pct"/>
          </w:tcPr>
          <w:p w:rsidR="00371E9F" w:rsidRPr="00063036" w:rsidRDefault="00380F00" w:rsidP="00DD308E">
            <w:pPr>
              <w:rPr>
                <w:szCs w:val="20"/>
              </w:rPr>
            </w:pPr>
            <w:r>
              <w:rPr>
                <w:szCs w:val="20"/>
              </w:rPr>
              <w:t>April 2016</w:t>
            </w:r>
          </w:p>
        </w:tc>
      </w:tr>
      <w:tr w:rsidR="00FC572D" w:rsidTr="00C72A0C">
        <w:trPr>
          <w:cantSplit/>
        </w:trPr>
        <w:tc>
          <w:tcPr>
            <w:tcW w:w="201" w:type="pct"/>
          </w:tcPr>
          <w:p w:rsidR="00FC572D" w:rsidRDefault="003A54F3" w:rsidP="00DD308E">
            <w:pPr>
              <w:rPr>
                <w:szCs w:val="20"/>
              </w:rPr>
            </w:pPr>
            <w:r>
              <w:rPr>
                <w:szCs w:val="20"/>
              </w:rPr>
              <w:t>8</w:t>
            </w:r>
            <w:r w:rsidR="00C72A0C">
              <w:rPr>
                <w:szCs w:val="20"/>
              </w:rPr>
              <w:t>.</w:t>
            </w:r>
          </w:p>
        </w:tc>
        <w:tc>
          <w:tcPr>
            <w:tcW w:w="655" w:type="pct"/>
          </w:tcPr>
          <w:p w:rsidR="00FC572D" w:rsidRPr="00063036" w:rsidRDefault="00FC10A8" w:rsidP="00DD308E">
            <w:pPr>
              <w:rPr>
                <w:szCs w:val="20"/>
              </w:rPr>
            </w:pPr>
            <w:r>
              <w:rPr>
                <w:szCs w:val="20"/>
              </w:rPr>
              <w:t>Comparative diagnostic study</w:t>
            </w:r>
          </w:p>
        </w:tc>
        <w:tc>
          <w:tcPr>
            <w:tcW w:w="532" w:type="pct"/>
          </w:tcPr>
          <w:p w:rsidR="00FC572D" w:rsidRPr="00063036" w:rsidRDefault="00FC572D" w:rsidP="00E824E2">
            <w:pPr>
              <w:rPr>
                <w:szCs w:val="20"/>
              </w:rPr>
            </w:pPr>
          </w:p>
        </w:tc>
        <w:tc>
          <w:tcPr>
            <w:tcW w:w="1101" w:type="pct"/>
          </w:tcPr>
          <w:p w:rsidR="00FC572D" w:rsidRDefault="00760CE6" w:rsidP="00206DCC">
            <w:pPr>
              <w:rPr>
                <w:szCs w:val="20"/>
              </w:rPr>
            </w:pPr>
            <w:r>
              <w:rPr>
                <w:szCs w:val="20"/>
              </w:rPr>
              <w:t xml:space="preserve">Simultaneous detection of BRCA mutations and large genomic rearrangements in germline DNA and FFPE tumour samples.  Ten ovarian cancer samples were included in this study which also reported results for a similar number of breast cancer samples. Two different next generation sequencing platforms </w:t>
            </w:r>
            <w:r w:rsidR="009B1747">
              <w:rPr>
                <w:szCs w:val="20"/>
              </w:rPr>
              <w:t>were compared.</w:t>
            </w:r>
          </w:p>
        </w:tc>
        <w:tc>
          <w:tcPr>
            <w:tcW w:w="1962" w:type="pct"/>
          </w:tcPr>
          <w:p w:rsidR="00FC572D" w:rsidRDefault="005B57E8" w:rsidP="00496A6E">
            <w:pPr>
              <w:rPr>
                <w:szCs w:val="20"/>
              </w:rPr>
            </w:pPr>
            <w:hyperlink r:id="rId19" w:tooltip="Link to oncotarget article" w:history="1">
              <w:r w:rsidR="00EA69A3" w:rsidRPr="00881576">
                <w:rPr>
                  <w:rStyle w:val="Hyperlink"/>
                  <w:szCs w:val="20"/>
                </w:rPr>
                <w:t>https://www.ncbi.nlm.nih.gov/pmc/articles/PMC5308695/pdf/oncotarget-07-61845.pdf</w:t>
              </w:r>
            </w:hyperlink>
          </w:p>
          <w:p w:rsidR="00EA69A3" w:rsidRDefault="00CB3914" w:rsidP="00496A6E">
            <w:pPr>
              <w:rPr>
                <w:szCs w:val="20"/>
              </w:rPr>
            </w:pPr>
            <w:proofErr w:type="spellStart"/>
            <w:r>
              <w:rPr>
                <w:szCs w:val="20"/>
              </w:rPr>
              <w:t>Enyedi</w:t>
            </w:r>
            <w:proofErr w:type="spellEnd"/>
            <w:r>
              <w:rPr>
                <w:szCs w:val="20"/>
              </w:rPr>
              <w:t xml:space="preserve"> MZ, </w:t>
            </w:r>
            <w:proofErr w:type="spellStart"/>
            <w:r>
              <w:rPr>
                <w:szCs w:val="20"/>
              </w:rPr>
              <w:t>Jaksa</w:t>
            </w:r>
            <w:proofErr w:type="spellEnd"/>
            <w:r>
              <w:rPr>
                <w:szCs w:val="20"/>
              </w:rPr>
              <w:t xml:space="preserve"> G, Pinter L, </w:t>
            </w:r>
            <w:proofErr w:type="spellStart"/>
            <w:r>
              <w:rPr>
                <w:szCs w:val="20"/>
              </w:rPr>
              <w:t>Sukosd</w:t>
            </w:r>
            <w:proofErr w:type="spellEnd"/>
            <w:r>
              <w:rPr>
                <w:szCs w:val="20"/>
              </w:rPr>
              <w:t xml:space="preserve"> F, et.al.</w:t>
            </w:r>
          </w:p>
          <w:p w:rsidR="00CB3914" w:rsidRPr="00EA69A3" w:rsidRDefault="00CB3914" w:rsidP="00496A6E">
            <w:pPr>
              <w:rPr>
                <w:szCs w:val="20"/>
              </w:rPr>
            </w:pPr>
            <w:proofErr w:type="spellStart"/>
            <w:r>
              <w:rPr>
                <w:szCs w:val="20"/>
              </w:rPr>
              <w:t>Oncotarget</w:t>
            </w:r>
            <w:proofErr w:type="spellEnd"/>
            <w:r>
              <w:rPr>
                <w:szCs w:val="20"/>
              </w:rPr>
              <w:t xml:space="preserve">, 2016, </w:t>
            </w:r>
            <w:r w:rsidRPr="00CB3914">
              <w:rPr>
                <w:b/>
                <w:szCs w:val="20"/>
              </w:rPr>
              <w:t>7</w:t>
            </w:r>
            <w:r>
              <w:rPr>
                <w:szCs w:val="20"/>
              </w:rPr>
              <w:t>(38):61845-61859.</w:t>
            </w:r>
          </w:p>
        </w:tc>
        <w:tc>
          <w:tcPr>
            <w:tcW w:w="549" w:type="pct"/>
          </w:tcPr>
          <w:p w:rsidR="00FC572D" w:rsidRPr="00063036" w:rsidRDefault="009B1747" w:rsidP="00DD308E">
            <w:pPr>
              <w:rPr>
                <w:szCs w:val="20"/>
              </w:rPr>
            </w:pPr>
            <w:r>
              <w:rPr>
                <w:szCs w:val="20"/>
              </w:rPr>
              <w:t>August 2016</w:t>
            </w:r>
          </w:p>
        </w:tc>
      </w:tr>
      <w:tr w:rsidR="00FC572D" w:rsidTr="00C72A0C">
        <w:trPr>
          <w:cantSplit/>
        </w:trPr>
        <w:tc>
          <w:tcPr>
            <w:tcW w:w="201" w:type="pct"/>
          </w:tcPr>
          <w:p w:rsidR="00FC572D" w:rsidRDefault="003A54F3" w:rsidP="00DD308E">
            <w:pPr>
              <w:rPr>
                <w:szCs w:val="20"/>
              </w:rPr>
            </w:pPr>
            <w:r>
              <w:rPr>
                <w:szCs w:val="20"/>
              </w:rPr>
              <w:lastRenderedPageBreak/>
              <w:t>9</w:t>
            </w:r>
            <w:r w:rsidR="00C72A0C">
              <w:rPr>
                <w:szCs w:val="20"/>
              </w:rPr>
              <w:t>.</w:t>
            </w:r>
          </w:p>
        </w:tc>
        <w:tc>
          <w:tcPr>
            <w:tcW w:w="655" w:type="pct"/>
          </w:tcPr>
          <w:p w:rsidR="00FC572D" w:rsidRPr="00063036" w:rsidRDefault="007959AF" w:rsidP="00DD308E">
            <w:pPr>
              <w:rPr>
                <w:szCs w:val="20"/>
              </w:rPr>
            </w:pPr>
            <w:r>
              <w:rPr>
                <w:szCs w:val="20"/>
              </w:rPr>
              <w:t>Comparative diagnostic study</w:t>
            </w:r>
          </w:p>
        </w:tc>
        <w:tc>
          <w:tcPr>
            <w:tcW w:w="532" w:type="pct"/>
          </w:tcPr>
          <w:p w:rsidR="00FC572D" w:rsidRPr="00063036" w:rsidRDefault="00FC572D" w:rsidP="00E824E2">
            <w:pPr>
              <w:rPr>
                <w:szCs w:val="20"/>
              </w:rPr>
            </w:pPr>
          </w:p>
        </w:tc>
        <w:tc>
          <w:tcPr>
            <w:tcW w:w="1101" w:type="pct"/>
          </w:tcPr>
          <w:p w:rsidR="00FC572D" w:rsidRDefault="007959AF" w:rsidP="00206DCC">
            <w:pPr>
              <w:rPr>
                <w:szCs w:val="20"/>
              </w:rPr>
            </w:pPr>
            <w:r>
              <w:rPr>
                <w:szCs w:val="20"/>
              </w:rPr>
              <w:t>Germline and somatic multi</w:t>
            </w:r>
            <w:r w:rsidR="008A4B04">
              <w:rPr>
                <w:szCs w:val="20"/>
              </w:rPr>
              <w:t>-gene sequencing in patients with advanced high grade serous ovarian cancer (HGSOC)</w:t>
            </w:r>
            <w:r w:rsidR="007E4092">
              <w:rPr>
                <w:szCs w:val="20"/>
              </w:rPr>
              <w:t>.</w:t>
            </w:r>
            <w:r w:rsidR="008200E6">
              <w:rPr>
                <w:szCs w:val="20"/>
              </w:rPr>
              <w:t xml:space="preserve">  DNA extracted from matched blood and tumour samples (from FFPE) were tested using a lab developed next generation sequencing method.</w:t>
            </w:r>
          </w:p>
        </w:tc>
        <w:tc>
          <w:tcPr>
            <w:tcW w:w="1962" w:type="pct"/>
          </w:tcPr>
          <w:p w:rsidR="00FC572D" w:rsidRDefault="005B57E8" w:rsidP="00496A6E">
            <w:pPr>
              <w:rPr>
                <w:szCs w:val="20"/>
              </w:rPr>
            </w:pPr>
            <w:hyperlink r:id="rId20" w:history="1">
              <w:r w:rsidR="00D46C19" w:rsidRPr="00881576">
                <w:rPr>
                  <w:rStyle w:val="Hyperlink"/>
                  <w:szCs w:val="20"/>
                </w:rPr>
                <w:t>https://watermark.silverchair.com/mdw392.28.pdf?token=AQECAHi208BE49Ooan9kkhW_Ercy7Dm3ZL_9Cf3qfKAc485ysgAAAcgwggHEBgkqhkiG9w0BBwagggG1MIIBsQIBADCCAaoGCSqGSIb3DQEHATAeBglghkgBZQMEAS4wEQQMCtq-AmJx8VpxAGGAAgEQgIIBe0eIdSzalDmXm09ni2EVWLfH_2tlJJ2FFOvo6jZgsjpC_cowGsg35w_BTEFPPuOUn6k-p_6jZFhzbD5OAnWI0KFzIu3t3Ex_TyJQTw6bDx-COTz5PbRcnfNNyBOvEj1sXbp1hVvf5IrC-ihALl9KGevCyOc8BY6XzfnvhQa6PuBeJaSt3oHEN-X-sgX9S0BnCEq5Pd6ZCFesicmlp8v-leAV10nyibQL0Q2BjBEH6rHOAOsOUtMv0KPJnYgEZybxlC6-R6E5tZi4BQoqRwCZsyuDRdk4aTVAfM1kdKHQlfqaHAptGBz1MvAXrwipb41g-IfnJetKA5xOMNFQzHFQGGEZ0d7MEwFKCdS5EfdRjo3TWK5wcdY0l1t1HHT4e8Y9rgSZ56iQt_yDiLTaag176gJNv3v6wsCi_ljf0NQB_DCeio-jPD08JUIFM_x0G3dTaAutRBtbaWT-mt8ZXVH8YsOHOamSzbN59v7GIgdV1GSAM950jh754YqR8QA</w:t>
              </w:r>
            </w:hyperlink>
          </w:p>
          <w:p w:rsidR="007959AF" w:rsidRDefault="000C1824" w:rsidP="00496A6E">
            <w:pPr>
              <w:rPr>
                <w:szCs w:val="20"/>
              </w:rPr>
            </w:pPr>
            <w:proofErr w:type="spellStart"/>
            <w:r>
              <w:rPr>
                <w:szCs w:val="20"/>
              </w:rPr>
              <w:t>Stjepanovic</w:t>
            </w:r>
            <w:proofErr w:type="spellEnd"/>
            <w:r>
              <w:rPr>
                <w:szCs w:val="20"/>
              </w:rPr>
              <w:t xml:space="preserve"> N, Wilson M, </w:t>
            </w:r>
            <w:proofErr w:type="spellStart"/>
            <w:r>
              <w:rPr>
                <w:szCs w:val="20"/>
              </w:rPr>
              <w:t>Mandrilaras</w:t>
            </w:r>
            <w:proofErr w:type="spellEnd"/>
            <w:r>
              <w:rPr>
                <w:szCs w:val="20"/>
              </w:rPr>
              <w:t xml:space="preserve"> V, Clarke B, et. al.</w:t>
            </w:r>
          </w:p>
          <w:p w:rsidR="00D46C19" w:rsidRPr="007959AF" w:rsidRDefault="000C1824" w:rsidP="00496A6E">
            <w:pPr>
              <w:rPr>
                <w:szCs w:val="20"/>
              </w:rPr>
            </w:pPr>
            <w:r>
              <w:rPr>
                <w:szCs w:val="20"/>
              </w:rPr>
              <w:t xml:space="preserve"> </w:t>
            </w:r>
            <w:r w:rsidR="007959AF">
              <w:rPr>
                <w:i/>
                <w:szCs w:val="20"/>
              </w:rPr>
              <w:t xml:space="preserve">Annals of Oncology, </w:t>
            </w:r>
            <w:r w:rsidR="007959AF">
              <w:rPr>
                <w:szCs w:val="20"/>
              </w:rPr>
              <w:t>2016, 27(Supplement 6):Abstract 1547P</w:t>
            </w:r>
          </w:p>
        </w:tc>
        <w:tc>
          <w:tcPr>
            <w:tcW w:w="549" w:type="pct"/>
          </w:tcPr>
          <w:p w:rsidR="00FC572D" w:rsidRPr="00063036" w:rsidRDefault="007959AF" w:rsidP="00DD308E">
            <w:pPr>
              <w:rPr>
                <w:szCs w:val="20"/>
              </w:rPr>
            </w:pPr>
            <w:r>
              <w:rPr>
                <w:szCs w:val="20"/>
              </w:rPr>
              <w:t>2016</w:t>
            </w:r>
          </w:p>
        </w:tc>
      </w:tr>
      <w:tr w:rsidR="00FC572D" w:rsidTr="00C72A0C">
        <w:trPr>
          <w:cantSplit/>
        </w:trPr>
        <w:tc>
          <w:tcPr>
            <w:tcW w:w="201" w:type="pct"/>
          </w:tcPr>
          <w:p w:rsidR="00FC572D" w:rsidRDefault="003A54F3" w:rsidP="00DD308E">
            <w:pPr>
              <w:rPr>
                <w:szCs w:val="20"/>
              </w:rPr>
            </w:pPr>
            <w:r>
              <w:rPr>
                <w:szCs w:val="20"/>
              </w:rPr>
              <w:lastRenderedPageBreak/>
              <w:t>10</w:t>
            </w:r>
          </w:p>
        </w:tc>
        <w:tc>
          <w:tcPr>
            <w:tcW w:w="655" w:type="pct"/>
          </w:tcPr>
          <w:p w:rsidR="00FC572D" w:rsidRPr="00063036" w:rsidRDefault="00CC7DC5" w:rsidP="00DD308E">
            <w:pPr>
              <w:rPr>
                <w:szCs w:val="20"/>
              </w:rPr>
            </w:pPr>
            <w:r>
              <w:rPr>
                <w:szCs w:val="20"/>
              </w:rPr>
              <w:t>Diagnostic accuracy study</w:t>
            </w:r>
          </w:p>
        </w:tc>
        <w:tc>
          <w:tcPr>
            <w:tcW w:w="532" w:type="pct"/>
          </w:tcPr>
          <w:p w:rsidR="00FC572D" w:rsidRPr="00063036" w:rsidRDefault="00FC572D" w:rsidP="00E824E2">
            <w:pPr>
              <w:rPr>
                <w:szCs w:val="20"/>
              </w:rPr>
            </w:pPr>
          </w:p>
        </w:tc>
        <w:tc>
          <w:tcPr>
            <w:tcW w:w="1101" w:type="pct"/>
          </w:tcPr>
          <w:p w:rsidR="00FC572D" w:rsidRDefault="00080FA1" w:rsidP="00206DCC">
            <w:pPr>
              <w:rPr>
                <w:szCs w:val="20"/>
              </w:rPr>
            </w:pPr>
            <w:proofErr w:type="spellStart"/>
            <w:r>
              <w:rPr>
                <w:szCs w:val="20"/>
              </w:rPr>
              <w:t>NEBNextDirect</w:t>
            </w:r>
            <w:proofErr w:type="spellEnd"/>
            <w:r>
              <w:rPr>
                <w:szCs w:val="20"/>
              </w:rPr>
              <w:t xml:space="preserve"> BRCA1/2 panel is a hybridisation</w:t>
            </w:r>
            <w:r w:rsidR="00FD4DE8">
              <w:rPr>
                <w:szCs w:val="20"/>
              </w:rPr>
              <w:t>-</w:t>
            </w:r>
            <w:r>
              <w:rPr>
                <w:szCs w:val="20"/>
              </w:rPr>
              <w:t>based method to enrich nucleic acid targets</w:t>
            </w:r>
            <w:r w:rsidR="00FD4DE8">
              <w:rPr>
                <w:szCs w:val="20"/>
              </w:rPr>
              <w:t xml:space="preserve"> for detection of BRCA1/2 by next generation (Illumina </w:t>
            </w:r>
            <w:proofErr w:type="spellStart"/>
            <w:r w:rsidR="00FD4DE8">
              <w:rPr>
                <w:szCs w:val="20"/>
              </w:rPr>
              <w:t>MiSeq</w:t>
            </w:r>
            <w:proofErr w:type="spellEnd"/>
            <w:r w:rsidR="00FD4DE8">
              <w:rPr>
                <w:szCs w:val="20"/>
              </w:rPr>
              <w:t xml:space="preserve">) sequencing.  Differences in sensitivity and specificity for frozen tissue samples </w:t>
            </w:r>
            <w:r w:rsidR="00CC7DC5">
              <w:rPr>
                <w:szCs w:val="20"/>
              </w:rPr>
              <w:t>compared to FFPE samples were reported.</w:t>
            </w:r>
          </w:p>
        </w:tc>
        <w:tc>
          <w:tcPr>
            <w:tcW w:w="1962" w:type="pct"/>
          </w:tcPr>
          <w:p w:rsidR="00FC572D" w:rsidRDefault="005B57E8" w:rsidP="00496A6E">
            <w:pPr>
              <w:rPr>
                <w:szCs w:val="20"/>
              </w:rPr>
            </w:pPr>
            <w:hyperlink r:id="rId21" w:tooltip="Link to Cancer Research article" w:history="1">
              <w:r w:rsidR="00080FA1" w:rsidRPr="00881576">
                <w:rPr>
                  <w:rStyle w:val="Hyperlink"/>
                  <w:szCs w:val="20"/>
                </w:rPr>
                <w:t>http://cancerres.aacrjournals.org/content/77/13_Supplement/5362</w:t>
              </w:r>
            </w:hyperlink>
          </w:p>
          <w:p w:rsidR="00080FA1" w:rsidRDefault="00080FA1" w:rsidP="00496A6E">
            <w:pPr>
              <w:rPr>
                <w:szCs w:val="20"/>
              </w:rPr>
            </w:pPr>
            <w:r>
              <w:rPr>
                <w:szCs w:val="20"/>
              </w:rPr>
              <w:t xml:space="preserve">Adams SM, Patel KM, </w:t>
            </w:r>
            <w:proofErr w:type="spellStart"/>
            <w:r>
              <w:rPr>
                <w:szCs w:val="20"/>
              </w:rPr>
              <w:t>Emerman</w:t>
            </w:r>
            <w:proofErr w:type="spellEnd"/>
            <w:r>
              <w:rPr>
                <w:szCs w:val="20"/>
              </w:rPr>
              <w:t xml:space="preserve"> AB, Bowman SK, et. al.</w:t>
            </w:r>
          </w:p>
          <w:p w:rsidR="00080FA1" w:rsidRPr="00CD53E7" w:rsidRDefault="00080FA1" w:rsidP="00496A6E">
            <w:pPr>
              <w:rPr>
                <w:szCs w:val="20"/>
              </w:rPr>
            </w:pPr>
            <w:r w:rsidRPr="00080FA1">
              <w:rPr>
                <w:i/>
                <w:szCs w:val="20"/>
              </w:rPr>
              <w:t>Cancer Research</w:t>
            </w:r>
            <w:r>
              <w:rPr>
                <w:szCs w:val="20"/>
              </w:rPr>
              <w:t>, 2017, 77(13 S</w:t>
            </w:r>
            <w:r w:rsidR="00CC7DC5">
              <w:rPr>
                <w:szCs w:val="20"/>
              </w:rPr>
              <w:t>u</w:t>
            </w:r>
            <w:r>
              <w:rPr>
                <w:szCs w:val="20"/>
              </w:rPr>
              <w:t>p</w:t>
            </w:r>
            <w:r w:rsidR="00CC7DC5">
              <w:rPr>
                <w:szCs w:val="20"/>
              </w:rPr>
              <w:t>p</w:t>
            </w:r>
            <w:r>
              <w:rPr>
                <w:szCs w:val="20"/>
              </w:rPr>
              <w:t>lement 1 July): Abstract 5362</w:t>
            </w:r>
          </w:p>
        </w:tc>
        <w:tc>
          <w:tcPr>
            <w:tcW w:w="549" w:type="pct"/>
          </w:tcPr>
          <w:p w:rsidR="00FC572D" w:rsidRPr="00063036" w:rsidRDefault="00BD06E3" w:rsidP="00DD308E">
            <w:pPr>
              <w:rPr>
                <w:szCs w:val="20"/>
              </w:rPr>
            </w:pPr>
            <w:r>
              <w:rPr>
                <w:szCs w:val="20"/>
              </w:rPr>
              <w:t>July 2017</w:t>
            </w:r>
          </w:p>
        </w:tc>
      </w:tr>
      <w:tr w:rsidR="00C72A0C" w:rsidTr="00C72A0C">
        <w:trPr>
          <w:cantSplit/>
        </w:trPr>
        <w:tc>
          <w:tcPr>
            <w:tcW w:w="201" w:type="pct"/>
          </w:tcPr>
          <w:p w:rsidR="00C72A0C" w:rsidRDefault="003A54F3" w:rsidP="00DD308E">
            <w:pPr>
              <w:rPr>
                <w:szCs w:val="20"/>
              </w:rPr>
            </w:pPr>
            <w:r>
              <w:rPr>
                <w:szCs w:val="20"/>
              </w:rPr>
              <w:t>11</w:t>
            </w:r>
          </w:p>
        </w:tc>
        <w:tc>
          <w:tcPr>
            <w:tcW w:w="655" w:type="pct"/>
          </w:tcPr>
          <w:p w:rsidR="00C72A0C" w:rsidRPr="00063036" w:rsidRDefault="00CC7DC5" w:rsidP="00DD308E">
            <w:pPr>
              <w:rPr>
                <w:szCs w:val="20"/>
              </w:rPr>
            </w:pPr>
            <w:r>
              <w:rPr>
                <w:szCs w:val="20"/>
              </w:rPr>
              <w:t>Diagnostic accuracy study</w:t>
            </w:r>
          </w:p>
        </w:tc>
        <w:tc>
          <w:tcPr>
            <w:tcW w:w="532" w:type="pct"/>
          </w:tcPr>
          <w:p w:rsidR="00C72A0C" w:rsidRPr="00063036" w:rsidRDefault="00C72A0C" w:rsidP="00E824E2">
            <w:pPr>
              <w:rPr>
                <w:szCs w:val="20"/>
              </w:rPr>
            </w:pPr>
          </w:p>
        </w:tc>
        <w:tc>
          <w:tcPr>
            <w:tcW w:w="1101" w:type="pct"/>
          </w:tcPr>
          <w:p w:rsidR="00C72A0C" w:rsidRDefault="00A65225" w:rsidP="00206DCC">
            <w:pPr>
              <w:rPr>
                <w:szCs w:val="20"/>
              </w:rPr>
            </w:pPr>
            <w:r>
              <w:rPr>
                <w:szCs w:val="20"/>
              </w:rPr>
              <w:t xml:space="preserve">This multicentre study evaluated the analytical performance of BRCA </w:t>
            </w:r>
            <w:proofErr w:type="spellStart"/>
            <w:r>
              <w:rPr>
                <w:szCs w:val="20"/>
              </w:rPr>
              <w:t>Tumor</w:t>
            </w:r>
            <w:proofErr w:type="spellEnd"/>
            <w:r>
              <w:rPr>
                <w:szCs w:val="20"/>
              </w:rPr>
              <w:t xml:space="preserve"> MASTR Plus </w:t>
            </w:r>
            <w:proofErr w:type="spellStart"/>
            <w:r>
              <w:rPr>
                <w:szCs w:val="20"/>
              </w:rPr>
              <w:t>Dx</w:t>
            </w:r>
            <w:proofErr w:type="spellEnd"/>
            <w:r>
              <w:rPr>
                <w:szCs w:val="20"/>
              </w:rPr>
              <w:t xml:space="preserve"> (</w:t>
            </w:r>
            <w:proofErr w:type="spellStart"/>
            <w:r>
              <w:rPr>
                <w:szCs w:val="20"/>
              </w:rPr>
              <w:t>Multiplicom</w:t>
            </w:r>
            <w:proofErr w:type="spellEnd"/>
            <w:r>
              <w:rPr>
                <w:szCs w:val="20"/>
              </w:rPr>
              <w:t>) for diagnosis of somatic and germline BRCA mutations in formalin-fixed paraffin embedded tumour tissue derived DNA. 51 clinical and 3 reference samples were used.</w:t>
            </w:r>
            <w:r w:rsidR="006A1535">
              <w:rPr>
                <w:szCs w:val="20"/>
              </w:rPr>
              <w:t xml:space="preserve">  The clinical samples were characterised by next generation sequencing.</w:t>
            </w:r>
          </w:p>
        </w:tc>
        <w:tc>
          <w:tcPr>
            <w:tcW w:w="1962" w:type="pct"/>
          </w:tcPr>
          <w:p w:rsidR="00C72A0C" w:rsidRDefault="005B57E8" w:rsidP="00496A6E">
            <w:pPr>
              <w:rPr>
                <w:szCs w:val="20"/>
              </w:rPr>
            </w:pPr>
            <w:hyperlink r:id="rId22" w:tooltip="Link to Journal of Clinical Oncology" w:history="1">
              <w:r w:rsidR="00757A49" w:rsidRPr="00881576">
                <w:rPr>
                  <w:rStyle w:val="Hyperlink"/>
                  <w:szCs w:val="20"/>
                </w:rPr>
                <w:t>http://ascopubs.org/doi/abs/10.1200/JCO.2017.35.15_suppl.e23116</w:t>
              </w:r>
            </w:hyperlink>
          </w:p>
          <w:p w:rsidR="00757A49" w:rsidRDefault="005147A1" w:rsidP="00496A6E">
            <w:pPr>
              <w:rPr>
                <w:szCs w:val="20"/>
              </w:rPr>
            </w:pPr>
            <w:r>
              <w:rPr>
                <w:szCs w:val="20"/>
              </w:rPr>
              <w:t xml:space="preserve">Boulet G, Van </w:t>
            </w:r>
            <w:proofErr w:type="spellStart"/>
            <w:r>
              <w:rPr>
                <w:szCs w:val="20"/>
              </w:rPr>
              <w:t>Barel</w:t>
            </w:r>
            <w:proofErr w:type="spellEnd"/>
            <w:r>
              <w:rPr>
                <w:szCs w:val="20"/>
              </w:rPr>
              <w:t xml:space="preserve">, </w:t>
            </w:r>
            <w:proofErr w:type="spellStart"/>
            <w:r>
              <w:rPr>
                <w:szCs w:val="20"/>
              </w:rPr>
              <w:t>Rotthier</w:t>
            </w:r>
            <w:proofErr w:type="spellEnd"/>
            <w:r>
              <w:rPr>
                <w:szCs w:val="20"/>
              </w:rPr>
              <w:t xml:space="preserve"> A, </w:t>
            </w:r>
            <w:proofErr w:type="spellStart"/>
            <w:r>
              <w:rPr>
                <w:szCs w:val="20"/>
              </w:rPr>
              <w:t>Goossens</w:t>
            </w:r>
            <w:proofErr w:type="spellEnd"/>
            <w:r>
              <w:rPr>
                <w:szCs w:val="20"/>
              </w:rPr>
              <w:t xml:space="preserve"> D, </w:t>
            </w:r>
            <w:proofErr w:type="spellStart"/>
            <w:r>
              <w:rPr>
                <w:szCs w:val="20"/>
              </w:rPr>
              <w:t>DelFavero</w:t>
            </w:r>
            <w:proofErr w:type="spellEnd"/>
            <w:r>
              <w:rPr>
                <w:szCs w:val="20"/>
              </w:rPr>
              <w:t xml:space="preserve"> J.</w:t>
            </w:r>
          </w:p>
          <w:p w:rsidR="005147A1" w:rsidRPr="005147A1" w:rsidRDefault="005147A1" w:rsidP="00496A6E">
            <w:pPr>
              <w:rPr>
                <w:szCs w:val="20"/>
              </w:rPr>
            </w:pPr>
            <w:r>
              <w:rPr>
                <w:i/>
                <w:szCs w:val="20"/>
              </w:rPr>
              <w:t>Journal of Clinical Oncology</w:t>
            </w:r>
            <w:r>
              <w:rPr>
                <w:szCs w:val="20"/>
              </w:rPr>
              <w:t xml:space="preserve">, 2017, </w:t>
            </w:r>
            <w:r w:rsidR="00A65225" w:rsidRPr="00BD06E3">
              <w:rPr>
                <w:b/>
                <w:szCs w:val="20"/>
              </w:rPr>
              <w:t>35</w:t>
            </w:r>
            <w:r w:rsidR="00A65225">
              <w:rPr>
                <w:szCs w:val="20"/>
              </w:rPr>
              <w:t>(15 Supplement):e23116</w:t>
            </w:r>
          </w:p>
        </w:tc>
        <w:tc>
          <w:tcPr>
            <w:tcW w:w="549" w:type="pct"/>
          </w:tcPr>
          <w:p w:rsidR="00C72A0C" w:rsidRPr="00063036" w:rsidRDefault="00BD06E3" w:rsidP="00DD308E">
            <w:pPr>
              <w:rPr>
                <w:szCs w:val="20"/>
              </w:rPr>
            </w:pPr>
            <w:r>
              <w:rPr>
                <w:szCs w:val="20"/>
              </w:rPr>
              <w:t>May 2017</w:t>
            </w:r>
          </w:p>
        </w:tc>
      </w:tr>
      <w:tr w:rsidR="00C72A0C" w:rsidTr="00C72A0C">
        <w:trPr>
          <w:cantSplit/>
        </w:trPr>
        <w:tc>
          <w:tcPr>
            <w:tcW w:w="201" w:type="pct"/>
          </w:tcPr>
          <w:p w:rsidR="00C72A0C" w:rsidRDefault="003A54F3" w:rsidP="00DD308E">
            <w:pPr>
              <w:rPr>
                <w:szCs w:val="20"/>
              </w:rPr>
            </w:pPr>
            <w:r>
              <w:rPr>
                <w:szCs w:val="20"/>
              </w:rPr>
              <w:lastRenderedPageBreak/>
              <w:t>12</w:t>
            </w:r>
          </w:p>
        </w:tc>
        <w:tc>
          <w:tcPr>
            <w:tcW w:w="655" w:type="pct"/>
          </w:tcPr>
          <w:p w:rsidR="00C72A0C" w:rsidRPr="00063036" w:rsidRDefault="00BD06E3" w:rsidP="00DD308E">
            <w:pPr>
              <w:rPr>
                <w:szCs w:val="20"/>
              </w:rPr>
            </w:pPr>
            <w:r>
              <w:rPr>
                <w:szCs w:val="20"/>
              </w:rPr>
              <w:t>Diagnostic accuracy study</w:t>
            </w:r>
          </w:p>
        </w:tc>
        <w:tc>
          <w:tcPr>
            <w:tcW w:w="532" w:type="pct"/>
          </w:tcPr>
          <w:p w:rsidR="00C72A0C" w:rsidRPr="00063036" w:rsidRDefault="00C72A0C" w:rsidP="00E824E2">
            <w:pPr>
              <w:rPr>
                <w:szCs w:val="20"/>
              </w:rPr>
            </w:pPr>
          </w:p>
        </w:tc>
        <w:tc>
          <w:tcPr>
            <w:tcW w:w="1101" w:type="pct"/>
          </w:tcPr>
          <w:p w:rsidR="00C72A0C" w:rsidRDefault="00BD06E3" w:rsidP="00206DCC">
            <w:pPr>
              <w:rPr>
                <w:szCs w:val="20"/>
              </w:rPr>
            </w:pPr>
            <w:r>
              <w:rPr>
                <w:szCs w:val="20"/>
              </w:rPr>
              <w:t xml:space="preserve">Testing of BRCA1/2 gene mutations in FFPE samples of patients with high-grade serous ovarian cancer and the limits of its </w:t>
            </w:r>
            <w:proofErr w:type="spellStart"/>
            <w:r>
              <w:rPr>
                <w:szCs w:val="20"/>
              </w:rPr>
              <w:t>bioinformatic</w:t>
            </w:r>
            <w:proofErr w:type="spellEnd"/>
            <w:r>
              <w:rPr>
                <w:szCs w:val="20"/>
              </w:rPr>
              <w:t xml:space="preserve"> interpretation.</w:t>
            </w:r>
          </w:p>
        </w:tc>
        <w:tc>
          <w:tcPr>
            <w:tcW w:w="1962" w:type="pct"/>
          </w:tcPr>
          <w:p w:rsidR="00C72A0C" w:rsidRDefault="005B57E8" w:rsidP="00496A6E">
            <w:pPr>
              <w:rPr>
                <w:szCs w:val="20"/>
              </w:rPr>
            </w:pPr>
            <w:hyperlink r:id="rId23" w:tooltip="Link to Journal of Clinical Oncology" w:history="1">
              <w:r w:rsidR="00A028F0" w:rsidRPr="00881576">
                <w:rPr>
                  <w:rStyle w:val="Hyperlink"/>
                  <w:szCs w:val="20"/>
                </w:rPr>
                <w:t>http://ascopubs.org/doi/abs/10.1200/JCO.2017.35.15_suppl.e17060</w:t>
              </w:r>
            </w:hyperlink>
          </w:p>
          <w:p w:rsidR="00A028F0" w:rsidRDefault="00BD06E3" w:rsidP="00496A6E">
            <w:pPr>
              <w:rPr>
                <w:szCs w:val="20"/>
              </w:rPr>
            </w:pPr>
            <w:proofErr w:type="spellStart"/>
            <w:r>
              <w:rPr>
                <w:szCs w:val="20"/>
              </w:rPr>
              <w:t>Janikova</w:t>
            </w:r>
            <w:proofErr w:type="spellEnd"/>
            <w:r>
              <w:rPr>
                <w:szCs w:val="20"/>
              </w:rPr>
              <w:t xml:space="preserve"> K, </w:t>
            </w:r>
            <w:proofErr w:type="spellStart"/>
            <w:r>
              <w:rPr>
                <w:szCs w:val="20"/>
              </w:rPr>
              <w:t>Lasabova</w:t>
            </w:r>
            <w:proofErr w:type="spellEnd"/>
            <w:r>
              <w:rPr>
                <w:szCs w:val="20"/>
              </w:rPr>
              <w:t xml:space="preserve"> Z, </w:t>
            </w:r>
            <w:proofErr w:type="spellStart"/>
            <w:r>
              <w:rPr>
                <w:szCs w:val="20"/>
              </w:rPr>
              <w:t>Gredar</w:t>
            </w:r>
            <w:proofErr w:type="spellEnd"/>
            <w:r>
              <w:rPr>
                <w:szCs w:val="20"/>
              </w:rPr>
              <w:t xml:space="preserve"> M, </w:t>
            </w:r>
            <w:proofErr w:type="spellStart"/>
            <w:r>
              <w:rPr>
                <w:szCs w:val="20"/>
              </w:rPr>
              <w:t>Farkasova</w:t>
            </w:r>
            <w:proofErr w:type="spellEnd"/>
            <w:r>
              <w:rPr>
                <w:szCs w:val="20"/>
              </w:rPr>
              <w:t xml:space="preserve"> A, </w:t>
            </w:r>
            <w:r w:rsidRPr="00BE6D88">
              <w:rPr>
                <w:i/>
                <w:szCs w:val="20"/>
              </w:rPr>
              <w:t>et.al.</w:t>
            </w:r>
          </w:p>
          <w:p w:rsidR="00BD06E3" w:rsidRPr="00A028F0" w:rsidRDefault="00BD06E3" w:rsidP="00496A6E">
            <w:pPr>
              <w:rPr>
                <w:szCs w:val="20"/>
              </w:rPr>
            </w:pPr>
            <w:r>
              <w:rPr>
                <w:i/>
                <w:szCs w:val="20"/>
              </w:rPr>
              <w:t>Journal of Clinical Oncology</w:t>
            </w:r>
            <w:r>
              <w:rPr>
                <w:szCs w:val="20"/>
              </w:rPr>
              <w:t xml:space="preserve">, 2017, </w:t>
            </w:r>
            <w:r w:rsidRPr="00BD06E3">
              <w:rPr>
                <w:b/>
                <w:szCs w:val="20"/>
              </w:rPr>
              <w:t>35</w:t>
            </w:r>
            <w:r>
              <w:rPr>
                <w:szCs w:val="20"/>
              </w:rPr>
              <w:t>(15 Supplement):e17060</w:t>
            </w:r>
          </w:p>
        </w:tc>
        <w:tc>
          <w:tcPr>
            <w:tcW w:w="549" w:type="pct"/>
          </w:tcPr>
          <w:p w:rsidR="00C72A0C" w:rsidRPr="00063036" w:rsidRDefault="00BD06E3" w:rsidP="00DD308E">
            <w:pPr>
              <w:rPr>
                <w:szCs w:val="20"/>
              </w:rPr>
            </w:pPr>
            <w:r>
              <w:rPr>
                <w:szCs w:val="20"/>
              </w:rPr>
              <w:t>May 2017</w:t>
            </w:r>
          </w:p>
        </w:tc>
      </w:tr>
      <w:tr w:rsidR="00C72A0C" w:rsidTr="00C72A0C">
        <w:trPr>
          <w:cantSplit/>
        </w:trPr>
        <w:tc>
          <w:tcPr>
            <w:tcW w:w="201" w:type="pct"/>
          </w:tcPr>
          <w:p w:rsidR="00C72A0C" w:rsidRDefault="003A54F3" w:rsidP="00DD308E">
            <w:pPr>
              <w:rPr>
                <w:szCs w:val="20"/>
              </w:rPr>
            </w:pPr>
            <w:r>
              <w:rPr>
                <w:szCs w:val="20"/>
              </w:rPr>
              <w:t>13</w:t>
            </w:r>
          </w:p>
        </w:tc>
        <w:tc>
          <w:tcPr>
            <w:tcW w:w="655" w:type="pct"/>
          </w:tcPr>
          <w:p w:rsidR="00C72A0C" w:rsidRPr="00063036" w:rsidRDefault="00932E2F" w:rsidP="00DD308E">
            <w:pPr>
              <w:rPr>
                <w:szCs w:val="20"/>
              </w:rPr>
            </w:pPr>
            <w:r>
              <w:rPr>
                <w:szCs w:val="20"/>
              </w:rPr>
              <w:t>Comparative diagnostic study</w:t>
            </w:r>
          </w:p>
        </w:tc>
        <w:tc>
          <w:tcPr>
            <w:tcW w:w="532" w:type="pct"/>
          </w:tcPr>
          <w:p w:rsidR="00C72A0C" w:rsidRPr="00063036" w:rsidRDefault="00C72A0C" w:rsidP="00E824E2">
            <w:pPr>
              <w:rPr>
                <w:szCs w:val="20"/>
              </w:rPr>
            </w:pPr>
          </w:p>
        </w:tc>
        <w:tc>
          <w:tcPr>
            <w:tcW w:w="1101" w:type="pct"/>
          </w:tcPr>
          <w:p w:rsidR="00C72A0C" w:rsidRDefault="00300C70" w:rsidP="00206DCC">
            <w:pPr>
              <w:rPr>
                <w:szCs w:val="20"/>
              </w:rPr>
            </w:pPr>
            <w:r>
              <w:rPr>
                <w:szCs w:val="20"/>
              </w:rPr>
              <w:t xml:space="preserve">Next generation sequencing was used to detect deleterious mutations through all exons in 31 core </w:t>
            </w:r>
            <w:r w:rsidR="00C45AE5">
              <w:rPr>
                <w:szCs w:val="20"/>
              </w:rPr>
              <w:t xml:space="preserve">homologous recombination genes. Paired whole blood and frozen tumour samples from 50 </w:t>
            </w:r>
            <w:proofErr w:type="spellStart"/>
            <w:r w:rsidR="00C45AE5">
              <w:rPr>
                <w:szCs w:val="20"/>
              </w:rPr>
              <w:t>chinese</w:t>
            </w:r>
            <w:proofErr w:type="spellEnd"/>
            <w:r w:rsidR="00C45AE5">
              <w:rPr>
                <w:szCs w:val="20"/>
              </w:rPr>
              <w:t xml:space="preserve"> women diagnosed with epithelial ovarian carcinomas were tested to identify both germline and somatic variants.</w:t>
            </w:r>
          </w:p>
        </w:tc>
        <w:tc>
          <w:tcPr>
            <w:tcW w:w="1962" w:type="pct"/>
          </w:tcPr>
          <w:p w:rsidR="00C72A0C" w:rsidRDefault="005B57E8" w:rsidP="00496A6E">
            <w:pPr>
              <w:rPr>
                <w:szCs w:val="20"/>
              </w:rPr>
            </w:pPr>
            <w:hyperlink r:id="rId24" w:tooltip="Link to Journal of Gynaecologic Oncology article" w:history="1">
              <w:r w:rsidR="00300C70" w:rsidRPr="00881576">
                <w:rPr>
                  <w:rStyle w:val="Hyperlink"/>
                  <w:szCs w:val="20"/>
                </w:rPr>
                <w:t>https://www.ncbi.nlm.nih.gov/pmc/articles/PMC5447142/</w:t>
              </w:r>
            </w:hyperlink>
          </w:p>
          <w:p w:rsidR="00300C70" w:rsidRDefault="00C45AE5" w:rsidP="00496A6E">
            <w:pPr>
              <w:rPr>
                <w:szCs w:val="20"/>
              </w:rPr>
            </w:pPr>
            <w:r>
              <w:rPr>
                <w:szCs w:val="20"/>
              </w:rPr>
              <w:t xml:space="preserve">Zhao Q, Yang J, Li L, Cao D, </w:t>
            </w:r>
            <w:r w:rsidRPr="00BE6D88">
              <w:rPr>
                <w:i/>
                <w:szCs w:val="20"/>
              </w:rPr>
              <w:t>et. al.</w:t>
            </w:r>
          </w:p>
          <w:p w:rsidR="00C45AE5" w:rsidRPr="00300C70" w:rsidRDefault="00C45AE5" w:rsidP="00496A6E">
            <w:pPr>
              <w:rPr>
                <w:szCs w:val="20"/>
              </w:rPr>
            </w:pPr>
            <w:r w:rsidRPr="00BF1BD1">
              <w:rPr>
                <w:i/>
                <w:szCs w:val="20"/>
              </w:rPr>
              <w:t>Journal of Gynaecologic Oncology</w:t>
            </w:r>
            <w:r>
              <w:rPr>
                <w:szCs w:val="20"/>
              </w:rPr>
              <w:t xml:space="preserve">, 2017, </w:t>
            </w:r>
            <w:r w:rsidRPr="00BF1BD1">
              <w:rPr>
                <w:b/>
                <w:szCs w:val="20"/>
              </w:rPr>
              <w:t>28</w:t>
            </w:r>
            <w:r>
              <w:rPr>
                <w:szCs w:val="20"/>
              </w:rPr>
              <w:t>(4):e39</w:t>
            </w:r>
          </w:p>
        </w:tc>
        <w:tc>
          <w:tcPr>
            <w:tcW w:w="549" w:type="pct"/>
          </w:tcPr>
          <w:p w:rsidR="00C72A0C" w:rsidRPr="00063036" w:rsidRDefault="00BF1BD1" w:rsidP="00DD308E">
            <w:pPr>
              <w:rPr>
                <w:szCs w:val="20"/>
              </w:rPr>
            </w:pPr>
            <w:r>
              <w:rPr>
                <w:szCs w:val="20"/>
              </w:rPr>
              <w:t>July 2017</w:t>
            </w:r>
          </w:p>
        </w:tc>
      </w:tr>
      <w:tr w:rsidR="00A028F0" w:rsidTr="00C72A0C">
        <w:trPr>
          <w:cantSplit/>
        </w:trPr>
        <w:tc>
          <w:tcPr>
            <w:tcW w:w="201" w:type="pct"/>
          </w:tcPr>
          <w:p w:rsidR="00A028F0" w:rsidRDefault="003A54F3" w:rsidP="00DD308E">
            <w:pPr>
              <w:rPr>
                <w:szCs w:val="20"/>
              </w:rPr>
            </w:pPr>
            <w:r>
              <w:rPr>
                <w:szCs w:val="20"/>
              </w:rPr>
              <w:lastRenderedPageBreak/>
              <w:t>14</w:t>
            </w:r>
          </w:p>
        </w:tc>
        <w:tc>
          <w:tcPr>
            <w:tcW w:w="655" w:type="pct"/>
          </w:tcPr>
          <w:p w:rsidR="00A028F0" w:rsidRPr="00063036" w:rsidRDefault="001F5BAB" w:rsidP="00DD308E">
            <w:pPr>
              <w:rPr>
                <w:szCs w:val="20"/>
              </w:rPr>
            </w:pPr>
            <w:r>
              <w:rPr>
                <w:szCs w:val="20"/>
              </w:rPr>
              <w:t>Comparative diagnostic study</w:t>
            </w:r>
          </w:p>
        </w:tc>
        <w:tc>
          <w:tcPr>
            <w:tcW w:w="532" w:type="pct"/>
          </w:tcPr>
          <w:p w:rsidR="00A028F0" w:rsidRPr="00063036" w:rsidRDefault="00A028F0" w:rsidP="00E824E2">
            <w:pPr>
              <w:rPr>
                <w:szCs w:val="20"/>
              </w:rPr>
            </w:pPr>
          </w:p>
        </w:tc>
        <w:tc>
          <w:tcPr>
            <w:tcW w:w="1101" w:type="pct"/>
          </w:tcPr>
          <w:p w:rsidR="00A028F0" w:rsidRDefault="001F5BAB" w:rsidP="00206DCC">
            <w:pPr>
              <w:rPr>
                <w:szCs w:val="20"/>
              </w:rPr>
            </w:pPr>
            <w:r>
              <w:rPr>
                <w:szCs w:val="20"/>
              </w:rPr>
              <w:t>Patients diagnosed with recurrent ovarian cancer underwent next generation sequencing of archival tumour specimens using a 65 gene panel or a 315 gene panel (Foundation Medicine).  Some patients also underwent NGS of circulating free DNA from blood specimens</w:t>
            </w:r>
            <w:r w:rsidR="00C40ED8">
              <w:rPr>
                <w:szCs w:val="20"/>
              </w:rPr>
              <w:t>.  Genomic alterations identified from the blood based testing were compared to the archival tumour tissue.</w:t>
            </w:r>
            <w:r>
              <w:rPr>
                <w:szCs w:val="20"/>
              </w:rPr>
              <w:t xml:space="preserve"> </w:t>
            </w:r>
          </w:p>
        </w:tc>
        <w:tc>
          <w:tcPr>
            <w:tcW w:w="1962" w:type="pct"/>
          </w:tcPr>
          <w:p w:rsidR="00A028F0" w:rsidRDefault="005B57E8" w:rsidP="00496A6E">
            <w:pPr>
              <w:rPr>
                <w:szCs w:val="20"/>
              </w:rPr>
            </w:pPr>
            <w:hyperlink r:id="rId25" w:tooltip="Link to Molecular Cancer Therapeutics article" w:history="1">
              <w:r w:rsidR="00BE6D88" w:rsidRPr="003B0F3D">
                <w:rPr>
                  <w:rStyle w:val="Hyperlink"/>
                  <w:szCs w:val="20"/>
                </w:rPr>
                <w:t>http://mct.aacrjournals.org/content/16/10_Supplement/B29</w:t>
              </w:r>
            </w:hyperlink>
          </w:p>
          <w:p w:rsidR="00BE6D88" w:rsidRDefault="00BE6D88" w:rsidP="00496A6E">
            <w:pPr>
              <w:rPr>
                <w:szCs w:val="20"/>
              </w:rPr>
            </w:pPr>
            <w:proofErr w:type="spellStart"/>
            <w:r>
              <w:rPr>
                <w:szCs w:val="20"/>
              </w:rPr>
              <w:t>Londono</w:t>
            </w:r>
            <w:proofErr w:type="spellEnd"/>
            <w:r>
              <w:rPr>
                <w:szCs w:val="20"/>
              </w:rPr>
              <w:t xml:space="preserve"> AI, </w:t>
            </w:r>
            <w:proofErr w:type="spellStart"/>
            <w:r>
              <w:rPr>
                <w:szCs w:val="20"/>
              </w:rPr>
              <w:t>Farrukh</w:t>
            </w:r>
            <w:proofErr w:type="spellEnd"/>
            <w:r>
              <w:rPr>
                <w:szCs w:val="20"/>
              </w:rPr>
              <w:t xml:space="preserve"> N, Smith MK, </w:t>
            </w:r>
            <w:proofErr w:type="spellStart"/>
            <w:r>
              <w:rPr>
                <w:szCs w:val="20"/>
              </w:rPr>
              <w:t>Tawfik</w:t>
            </w:r>
            <w:proofErr w:type="spellEnd"/>
            <w:r>
              <w:rPr>
                <w:szCs w:val="20"/>
              </w:rPr>
              <w:t xml:space="preserve"> CM, </w:t>
            </w:r>
            <w:r w:rsidRPr="00BE6D88">
              <w:rPr>
                <w:i/>
                <w:szCs w:val="20"/>
              </w:rPr>
              <w:t>et.al.</w:t>
            </w:r>
          </w:p>
          <w:p w:rsidR="00BE6D88" w:rsidRPr="00BE6D88" w:rsidRDefault="00BE6D88" w:rsidP="00496A6E">
            <w:pPr>
              <w:rPr>
                <w:szCs w:val="20"/>
              </w:rPr>
            </w:pPr>
            <w:r>
              <w:rPr>
                <w:szCs w:val="20"/>
              </w:rPr>
              <w:t xml:space="preserve">Molecular Cancer Therapeutics, 2017, </w:t>
            </w:r>
            <w:r w:rsidRPr="001F5BAB">
              <w:rPr>
                <w:b/>
                <w:szCs w:val="20"/>
              </w:rPr>
              <w:t>16</w:t>
            </w:r>
            <w:r>
              <w:rPr>
                <w:szCs w:val="20"/>
              </w:rPr>
              <w:t>(10 Supplement 1):</w:t>
            </w:r>
            <w:r w:rsidR="001F5BAB">
              <w:rPr>
                <w:szCs w:val="20"/>
              </w:rPr>
              <w:t xml:space="preserve"> Abstract B29</w:t>
            </w:r>
          </w:p>
        </w:tc>
        <w:tc>
          <w:tcPr>
            <w:tcW w:w="549" w:type="pct"/>
          </w:tcPr>
          <w:p w:rsidR="00A028F0" w:rsidRPr="00063036" w:rsidRDefault="00BE6D88" w:rsidP="00DD308E">
            <w:pPr>
              <w:rPr>
                <w:szCs w:val="20"/>
              </w:rPr>
            </w:pPr>
            <w:r>
              <w:rPr>
                <w:szCs w:val="20"/>
              </w:rPr>
              <w:t>January 2017</w:t>
            </w:r>
          </w:p>
        </w:tc>
      </w:tr>
      <w:tr w:rsidR="00A028F0" w:rsidTr="00C72A0C">
        <w:trPr>
          <w:cantSplit/>
        </w:trPr>
        <w:tc>
          <w:tcPr>
            <w:tcW w:w="201" w:type="pct"/>
          </w:tcPr>
          <w:p w:rsidR="00A028F0" w:rsidRDefault="003A54F3" w:rsidP="00DD308E">
            <w:pPr>
              <w:rPr>
                <w:szCs w:val="20"/>
              </w:rPr>
            </w:pPr>
            <w:r>
              <w:rPr>
                <w:szCs w:val="20"/>
              </w:rPr>
              <w:t>15</w:t>
            </w:r>
          </w:p>
        </w:tc>
        <w:tc>
          <w:tcPr>
            <w:tcW w:w="655" w:type="pct"/>
          </w:tcPr>
          <w:p w:rsidR="00A028F0" w:rsidRPr="00063036" w:rsidRDefault="00216B13" w:rsidP="00DD308E">
            <w:pPr>
              <w:rPr>
                <w:szCs w:val="20"/>
              </w:rPr>
            </w:pPr>
            <w:r>
              <w:rPr>
                <w:szCs w:val="20"/>
              </w:rPr>
              <w:t>Diagnostic accuracy study</w:t>
            </w:r>
          </w:p>
        </w:tc>
        <w:tc>
          <w:tcPr>
            <w:tcW w:w="532" w:type="pct"/>
          </w:tcPr>
          <w:p w:rsidR="00A028F0" w:rsidRPr="00063036" w:rsidRDefault="00A028F0" w:rsidP="00E824E2">
            <w:pPr>
              <w:rPr>
                <w:szCs w:val="20"/>
              </w:rPr>
            </w:pPr>
          </w:p>
        </w:tc>
        <w:tc>
          <w:tcPr>
            <w:tcW w:w="1101" w:type="pct"/>
          </w:tcPr>
          <w:p w:rsidR="00A028F0" w:rsidRDefault="001D2E13" w:rsidP="00206DCC">
            <w:pPr>
              <w:rPr>
                <w:szCs w:val="20"/>
              </w:rPr>
            </w:pPr>
            <w:r>
              <w:rPr>
                <w:szCs w:val="20"/>
              </w:rPr>
              <w:t xml:space="preserve">Validation of the </w:t>
            </w:r>
            <w:proofErr w:type="spellStart"/>
            <w:r>
              <w:rPr>
                <w:szCs w:val="20"/>
              </w:rPr>
              <w:t>Devyser</w:t>
            </w:r>
            <w:proofErr w:type="spellEnd"/>
            <w:r>
              <w:rPr>
                <w:szCs w:val="20"/>
              </w:rPr>
              <w:t xml:space="preserve"> BRCA kit, for next generation sequencing of high risk breast/ovarian cancer susceptibility genes BRCA1 and BRCA2.  The assay of 48 samples including nucleotide substitutions, small deletions/insertions and large deletions/duplications</w:t>
            </w:r>
            <w:r w:rsidR="00C645D1">
              <w:rPr>
                <w:szCs w:val="20"/>
              </w:rPr>
              <w:t xml:space="preserve"> and showed 100% concordance with gold standards.</w:t>
            </w:r>
          </w:p>
        </w:tc>
        <w:tc>
          <w:tcPr>
            <w:tcW w:w="1962" w:type="pct"/>
          </w:tcPr>
          <w:p w:rsidR="00A028F0" w:rsidRDefault="005B57E8" w:rsidP="00496A6E">
            <w:pPr>
              <w:rPr>
                <w:szCs w:val="20"/>
              </w:rPr>
            </w:pPr>
            <w:hyperlink r:id="rId26" w:tooltip="Link to Journal of Molecular Diagnostics article" w:history="1">
              <w:r w:rsidR="00EA5E87" w:rsidRPr="003B0F3D">
                <w:rPr>
                  <w:rStyle w:val="Hyperlink"/>
                  <w:szCs w:val="20"/>
                </w:rPr>
                <w:t>https://www.sciencedirect.com/science/article/pii/S1525157817303380</w:t>
              </w:r>
            </w:hyperlink>
          </w:p>
          <w:p w:rsidR="00EA5E87" w:rsidRDefault="00216B13" w:rsidP="00496A6E">
            <w:pPr>
              <w:rPr>
                <w:i/>
                <w:szCs w:val="20"/>
              </w:rPr>
            </w:pPr>
            <w:r>
              <w:rPr>
                <w:szCs w:val="20"/>
              </w:rPr>
              <w:t xml:space="preserve">Capone GL, </w:t>
            </w:r>
            <w:proofErr w:type="spellStart"/>
            <w:r>
              <w:rPr>
                <w:szCs w:val="20"/>
              </w:rPr>
              <w:t>Putignano</w:t>
            </w:r>
            <w:proofErr w:type="spellEnd"/>
            <w:r>
              <w:rPr>
                <w:szCs w:val="20"/>
              </w:rPr>
              <w:t xml:space="preserve"> AL, Saavedra ST, Paganini I, </w:t>
            </w:r>
            <w:r w:rsidRPr="00216B13">
              <w:rPr>
                <w:i/>
                <w:szCs w:val="20"/>
              </w:rPr>
              <w:t>et.al.</w:t>
            </w:r>
          </w:p>
          <w:p w:rsidR="00216B13" w:rsidRPr="00216B13" w:rsidRDefault="00216B13" w:rsidP="00496A6E">
            <w:pPr>
              <w:rPr>
                <w:szCs w:val="20"/>
              </w:rPr>
            </w:pPr>
            <w:r>
              <w:rPr>
                <w:i/>
                <w:szCs w:val="20"/>
              </w:rPr>
              <w:t xml:space="preserve">Journal of Molecular Diagnostics, </w:t>
            </w:r>
            <w:r w:rsidRPr="00216B13">
              <w:rPr>
                <w:szCs w:val="20"/>
              </w:rPr>
              <w:t>2018</w:t>
            </w:r>
            <w:r>
              <w:rPr>
                <w:i/>
                <w:szCs w:val="20"/>
              </w:rPr>
              <w:t xml:space="preserve">, </w:t>
            </w:r>
            <w:r w:rsidRPr="00216B13">
              <w:rPr>
                <w:b/>
                <w:szCs w:val="20"/>
              </w:rPr>
              <w:t>20</w:t>
            </w:r>
            <w:r>
              <w:rPr>
                <w:szCs w:val="20"/>
              </w:rPr>
              <w:t>(1):87-94.</w:t>
            </w:r>
          </w:p>
        </w:tc>
        <w:tc>
          <w:tcPr>
            <w:tcW w:w="549" w:type="pct"/>
          </w:tcPr>
          <w:p w:rsidR="00A028F0" w:rsidRPr="00063036" w:rsidRDefault="00A028F0" w:rsidP="00DD308E">
            <w:pPr>
              <w:rPr>
                <w:szCs w:val="20"/>
              </w:rPr>
            </w:pPr>
          </w:p>
        </w:tc>
      </w:tr>
      <w:tr w:rsidR="002745AB" w:rsidTr="00C72A0C">
        <w:trPr>
          <w:cantSplit/>
        </w:trPr>
        <w:tc>
          <w:tcPr>
            <w:tcW w:w="201" w:type="pct"/>
          </w:tcPr>
          <w:p w:rsidR="002745AB" w:rsidRDefault="003A54F3" w:rsidP="00DD308E">
            <w:pPr>
              <w:rPr>
                <w:szCs w:val="20"/>
              </w:rPr>
            </w:pPr>
            <w:r>
              <w:rPr>
                <w:szCs w:val="20"/>
              </w:rPr>
              <w:lastRenderedPageBreak/>
              <w:t>16</w:t>
            </w:r>
          </w:p>
        </w:tc>
        <w:tc>
          <w:tcPr>
            <w:tcW w:w="655" w:type="pct"/>
          </w:tcPr>
          <w:p w:rsidR="002745AB" w:rsidRPr="00063036" w:rsidRDefault="00FD37B9" w:rsidP="00DD308E">
            <w:pPr>
              <w:rPr>
                <w:szCs w:val="20"/>
              </w:rPr>
            </w:pPr>
            <w:r>
              <w:rPr>
                <w:szCs w:val="20"/>
              </w:rPr>
              <w:t>Comparative diagnostic study</w:t>
            </w:r>
          </w:p>
        </w:tc>
        <w:tc>
          <w:tcPr>
            <w:tcW w:w="532" w:type="pct"/>
          </w:tcPr>
          <w:p w:rsidR="002745AB" w:rsidRPr="00063036" w:rsidRDefault="002745AB" w:rsidP="00E824E2">
            <w:pPr>
              <w:rPr>
                <w:szCs w:val="20"/>
              </w:rPr>
            </w:pPr>
          </w:p>
        </w:tc>
        <w:tc>
          <w:tcPr>
            <w:tcW w:w="1101" w:type="pct"/>
          </w:tcPr>
          <w:p w:rsidR="002745AB" w:rsidRDefault="00FD37B9" w:rsidP="00206DCC">
            <w:pPr>
              <w:rPr>
                <w:szCs w:val="20"/>
              </w:rPr>
            </w:pPr>
            <w:r>
              <w:rPr>
                <w:szCs w:val="20"/>
              </w:rPr>
              <w:t>496 patient tumour samples, including 68 ovarian cancer patients</w:t>
            </w:r>
            <w:r w:rsidR="00BC590C">
              <w:rPr>
                <w:szCs w:val="20"/>
              </w:rPr>
              <w:t xml:space="preserve"> with peripheral blood and archival FFPE samples were analysed to detect germline and somatic sequence variants of DNA repair genes.  Enrichment of targets was carried out using the Agilent </w:t>
            </w:r>
            <w:proofErr w:type="spellStart"/>
            <w:r w:rsidR="00BC590C">
              <w:rPr>
                <w:szCs w:val="20"/>
              </w:rPr>
              <w:t>SureSelect</w:t>
            </w:r>
            <w:proofErr w:type="spellEnd"/>
            <w:r w:rsidR="00BC590C">
              <w:rPr>
                <w:szCs w:val="20"/>
              </w:rPr>
              <w:t xml:space="preserve"> hybrid capture baits.  Next generation sequencing was carried out on Illumina</w:t>
            </w:r>
            <w:r w:rsidR="004873CB">
              <w:rPr>
                <w:szCs w:val="20"/>
              </w:rPr>
              <w:t xml:space="preserve"> platforms.</w:t>
            </w:r>
          </w:p>
        </w:tc>
        <w:tc>
          <w:tcPr>
            <w:tcW w:w="1962" w:type="pct"/>
          </w:tcPr>
          <w:p w:rsidR="002745AB" w:rsidRDefault="005B57E8" w:rsidP="00496A6E">
            <w:pPr>
              <w:rPr>
                <w:szCs w:val="20"/>
              </w:rPr>
            </w:pPr>
            <w:hyperlink r:id="rId27" w:tooltip="Link to Journal of Molecular Diagnostics article" w:history="1">
              <w:r w:rsidR="00FD37B9" w:rsidRPr="003B0F3D">
                <w:rPr>
                  <w:rStyle w:val="Hyperlink"/>
                  <w:szCs w:val="20"/>
                </w:rPr>
                <w:t>https://ac.els-cdn.com/S1525157816301787/1-s2.0-S1525157816301787-main.pdf?_tid=7264e1e2-1065-11e8-93f3-00000aacb35d&amp;acdnat=1518489033_e391a79881ac337e09e02850e1a6d6d5</w:t>
              </w:r>
            </w:hyperlink>
          </w:p>
          <w:p w:rsidR="00FD37B9" w:rsidRDefault="00FD37B9" w:rsidP="00496A6E">
            <w:pPr>
              <w:rPr>
                <w:szCs w:val="20"/>
              </w:rPr>
            </w:pPr>
            <w:r>
              <w:rPr>
                <w:szCs w:val="20"/>
              </w:rPr>
              <w:t>Lee W, Jo H, Yin X, Patel NM, et. al.</w:t>
            </w:r>
          </w:p>
          <w:p w:rsidR="00FD37B9" w:rsidRDefault="001C6214" w:rsidP="00496A6E">
            <w:pPr>
              <w:rPr>
                <w:szCs w:val="20"/>
              </w:rPr>
            </w:pPr>
            <w:r w:rsidRPr="001C6214">
              <w:rPr>
                <w:i/>
                <w:szCs w:val="20"/>
              </w:rPr>
              <w:t>Journal of Molecular Diagnostics</w:t>
            </w:r>
            <w:r>
              <w:rPr>
                <w:szCs w:val="20"/>
              </w:rPr>
              <w:t>, 2018, 20(1):87-94.</w:t>
            </w:r>
          </w:p>
        </w:tc>
        <w:tc>
          <w:tcPr>
            <w:tcW w:w="549" w:type="pct"/>
          </w:tcPr>
          <w:p w:rsidR="002745AB" w:rsidRPr="00063036" w:rsidRDefault="001C6214" w:rsidP="00DD308E">
            <w:pPr>
              <w:rPr>
                <w:szCs w:val="20"/>
              </w:rPr>
            </w:pPr>
            <w:r>
              <w:rPr>
                <w:szCs w:val="20"/>
              </w:rPr>
              <w:t>January 2018</w:t>
            </w:r>
          </w:p>
        </w:tc>
      </w:tr>
      <w:tr w:rsidR="002745AB" w:rsidTr="00C72A0C">
        <w:trPr>
          <w:cantSplit/>
        </w:trPr>
        <w:tc>
          <w:tcPr>
            <w:tcW w:w="201" w:type="pct"/>
          </w:tcPr>
          <w:p w:rsidR="002745AB" w:rsidRDefault="003A54F3" w:rsidP="00DD308E">
            <w:pPr>
              <w:rPr>
                <w:szCs w:val="20"/>
              </w:rPr>
            </w:pPr>
            <w:r>
              <w:rPr>
                <w:szCs w:val="20"/>
              </w:rPr>
              <w:t>17</w:t>
            </w:r>
          </w:p>
        </w:tc>
        <w:tc>
          <w:tcPr>
            <w:tcW w:w="655" w:type="pct"/>
          </w:tcPr>
          <w:p w:rsidR="002745AB" w:rsidRPr="00063036" w:rsidRDefault="00DA56A0" w:rsidP="00DD308E">
            <w:pPr>
              <w:rPr>
                <w:szCs w:val="20"/>
              </w:rPr>
            </w:pPr>
            <w:r>
              <w:rPr>
                <w:szCs w:val="20"/>
              </w:rPr>
              <w:t>Comparative diagnostic study</w:t>
            </w:r>
          </w:p>
        </w:tc>
        <w:tc>
          <w:tcPr>
            <w:tcW w:w="532" w:type="pct"/>
          </w:tcPr>
          <w:p w:rsidR="002745AB" w:rsidRPr="00063036" w:rsidRDefault="002745AB" w:rsidP="00E824E2">
            <w:pPr>
              <w:rPr>
                <w:szCs w:val="20"/>
              </w:rPr>
            </w:pPr>
          </w:p>
        </w:tc>
        <w:tc>
          <w:tcPr>
            <w:tcW w:w="1101" w:type="pct"/>
          </w:tcPr>
          <w:p w:rsidR="002745AB" w:rsidRDefault="00DA56A0" w:rsidP="00206DCC">
            <w:pPr>
              <w:rPr>
                <w:szCs w:val="20"/>
              </w:rPr>
            </w:pPr>
            <w:r>
              <w:rPr>
                <w:szCs w:val="20"/>
              </w:rPr>
              <w:t xml:space="preserve">This study included 9 patients with </w:t>
            </w:r>
            <w:r w:rsidR="00AB153D">
              <w:rPr>
                <w:szCs w:val="20"/>
              </w:rPr>
              <w:t xml:space="preserve">high grade serous ovarian cancer with </w:t>
            </w:r>
            <w:r>
              <w:rPr>
                <w:szCs w:val="20"/>
              </w:rPr>
              <w:t>known germline BRCA1/2 mutations</w:t>
            </w:r>
            <w:r w:rsidR="00AB153D">
              <w:rPr>
                <w:szCs w:val="20"/>
              </w:rPr>
              <w:t xml:space="preserve">.  Somatic mutations were detected using the BRCA </w:t>
            </w:r>
            <w:proofErr w:type="spellStart"/>
            <w:r w:rsidR="00AB153D">
              <w:rPr>
                <w:szCs w:val="20"/>
              </w:rPr>
              <w:t>Tumor</w:t>
            </w:r>
            <w:proofErr w:type="spellEnd"/>
            <w:r w:rsidR="00AB153D">
              <w:rPr>
                <w:szCs w:val="20"/>
              </w:rPr>
              <w:t xml:space="preserve"> MASTR Plus (</w:t>
            </w:r>
            <w:proofErr w:type="spellStart"/>
            <w:r w:rsidR="00AB153D">
              <w:rPr>
                <w:szCs w:val="20"/>
              </w:rPr>
              <w:t>Multiplicom</w:t>
            </w:r>
            <w:proofErr w:type="spellEnd"/>
            <w:r w:rsidR="00AB153D">
              <w:rPr>
                <w:szCs w:val="20"/>
              </w:rPr>
              <w:t>) and next generation sequencing (Illumina platform).</w:t>
            </w:r>
          </w:p>
        </w:tc>
        <w:tc>
          <w:tcPr>
            <w:tcW w:w="1962" w:type="pct"/>
          </w:tcPr>
          <w:p w:rsidR="00DA56A0" w:rsidRDefault="005B57E8" w:rsidP="00496A6E">
            <w:pPr>
              <w:rPr>
                <w:szCs w:val="20"/>
              </w:rPr>
            </w:pPr>
            <w:hyperlink r:id="rId28" w:tooltip="Link to Journal of Clinical Oncology article" w:history="1">
              <w:r w:rsidR="00DA56A0" w:rsidRPr="003B0F3D">
                <w:rPr>
                  <w:rStyle w:val="Hyperlink"/>
                  <w:szCs w:val="20"/>
                </w:rPr>
                <w:t>http://ascopubs.org/doi/abs/10.1200/JCO.2016.34.15_suppl.e17060</w:t>
              </w:r>
            </w:hyperlink>
          </w:p>
          <w:p w:rsidR="001C6214" w:rsidRDefault="001C6214" w:rsidP="00496A6E">
            <w:pPr>
              <w:rPr>
                <w:szCs w:val="20"/>
              </w:rPr>
            </w:pPr>
            <w:r>
              <w:rPr>
                <w:szCs w:val="20"/>
              </w:rPr>
              <w:t xml:space="preserve">Blanch S, Antonio F, </w:t>
            </w:r>
            <w:proofErr w:type="spellStart"/>
            <w:r>
              <w:rPr>
                <w:szCs w:val="20"/>
              </w:rPr>
              <w:t>Zaida</w:t>
            </w:r>
            <w:proofErr w:type="spellEnd"/>
            <w:r>
              <w:rPr>
                <w:szCs w:val="20"/>
              </w:rPr>
              <w:t xml:space="preserve"> GC, </w:t>
            </w:r>
            <w:proofErr w:type="spellStart"/>
            <w:r>
              <w:rPr>
                <w:szCs w:val="20"/>
              </w:rPr>
              <w:t>Iganacio</w:t>
            </w:r>
            <w:proofErr w:type="spellEnd"/>
            <w:r>
              <w:rPr>
                <w:szCs w:val="20"/>
              </w:rPr>
              <w:t xml:space="preserve"> R, et.al. </w:t>
            </w:r>
          </w:p>
          <w:p w:rsidR="001C6214" w:rsidRDefault="00DA56A0" w:rsidP="00496A6E">
            <w:pPr>
              <w:rPr>
                <w:szCs w:val="20"/>
              </w:rPr>
            </w:pPr>
            <w:r w:rsidRPr="00DA56A0">
              <w:rPr>
                <w:i/>
                <w:szCs w:val="20"/>
              </w:rPr>
              <w:t>Journal of Clinical Oncology</w:t>
            </w:r>
            <w:r>
              <w:rPr>
                <w:szCs w:val="20"/>
              </w:rPr>
              <w:t>, 2016, 34(15 Supplement): Abstract e17060.</w:t>
            </w:r>
          </w:p>
        </w:tc>
        <w:tc>
          <w:tcPr>
            <w:tcW w:w="549" w:type="pct"/>
          </w:tcPr>
          <w:p w:rsidR="002745AB" w:rsidRPr="00063036" w:rsidRDefault="004D17F8" w:rsidP="00DD308E">
            <w:pPr>
              <w:rPr>
                <w:szCs w:val="20"/>
              </w:rPr>
            </w:pPr>
            <w:r>
              <w:rPr>
                <w:szCs w:val="20"/>
              </w:rPr>
              <w:t>October 2016</w:t>
            </w:r>
          </w:p>
        </w:tc>
      </w:tr>
      <w:tr w:rsidR="002745AB" w:rsidTr="00C72A0C">
        <w:trPr>
          <w:cantSplit/>
        </w:trPr>
        <w:tc>
          <w:tcPr>
            <w:tcW w:w="201" w:type="pct"/>
          </w:tcPr>
          <w:p w:rsidR="002745AB" w:rsidRDefault="003A54F3" w:rsidP="00DD308E">
            <w:pPr>
              <w:rPr>
                <w:szCs w:val="20"/>
              </w:rPr>
            </w:pPr>
            <w:r>
              <w:rPr>
                <w:szCs w:val="20"/>
              </w:rPr>
              <w:lastRenderedPageBreak/>
              <w:t>18</w:t>
            </w:r>
          </w:p>
        </w:tc>
        <w:tc>
          <w:tcPr>
            <w:tcW w:w="655" w:type="pct"/>
          </w:tcPr>
          <w:p w:rsidR="002745AB" w:rsidRPr="00063036" w:rsidRDefault="00593B4B" w:rsidP="00DD308E">
            <w:pPr>
              <w:rPr>
                <w:szCs w:val="20"/>
              </w:rPr>
            </w:pPr>
            <w:r>
              <w:rPr>
                <w:szCs w:val="20"/>
              </w:rPr>
              <w:t>Diagnostic study</w:t>
            </w:r>
          </w:p>
        </w:tc>
        <w:tc>
          <w:tcPr>
            <w:tcW w:w="532" w:type="pct"/>
          </w:tcPr>
          <w:p w:rsidR="002745AB" w:rsidRPr="00063036" w:rsidRDefault="002745AB" w:rsidP="00E824E2">
            <w:pPr>
              <w:rPr>
                <w:szCs w:val="20"/>
              </w:rPr>
            </w:pPr>
          </w:p>
        </w:tc>
        <w:tc>
          <w:tcPr>
            <w:tcW w:w="1101" w:type="pct"/>
          </w:tcPr>
          <w:p w:rsidR="002745AB" w:rsidRDefault="00593B4B" w:rsidP="00206DCC">
            <w:pPr>
              <w:rPr>
                <w:szCs w:val="20"/>
              </w:rPr>
            </w:pPr>
            <w:r>
              <w:rPr>
                <w:szCs w:val="20"/>
              </w:rPr>
              <w:t>Formalin fixed paraffin embedded tumour tissue samples from 695 patients with ovarian, peritoneal or fallopian tube cancer were analysed by next generation sequencing 300 cancer associated genes (</w:t>
            </w:r>
            <w:proofErr w:type="spellStart"/>
            <w:r>
              <w:rPr>
                <w:szCs w:val="20"/>
              </w:rPr>
              <w:t>Oncopanel</w:t>
            </w:r>
            <w:proofErr w:type="spellEnd"/>
            <w:r>
              <w:rPr>
                <w:szCs w:val="20"/>
              </w:rPr>
              <w:t xml:space="preserve"> test) including BRCA1/2.</w:t>
            </w:r>
          </w:p>
        </w:tc>
        <w:tc>
          <w:tcPr>
            <w:tcW w:w="1962" w:type="pct"/>
          </w:tcPr>
          <w:p w:rsidR="002745AB" w:rsidRDefault="005B57E8" w:rsidP="00496A6E">
            <w:pPr>
              <w:rPr>
                <w:szCs w:val="20"/>
              </w:rPr>
            </w:pPr>
            <w:hyperlink r:id="rId29" w:tooltip="Link to Cancer Research article" w:history="1">
              <w:r w:rsidR="004D17F8" w:rsidRPr="003B0F3D">
                <w:rPr>
                  <w:rStyle w:val="Hyperlink"/>
                  <w:szCs w:val="20"/>
                </w:rPr>
                <w:t>http://cancerres.aacrjournals.org/content/76/14_Supplement/95</w:t>
              </w:r>
            </w:hyperlink>
          </w:p>
          <w:p w:rsidR="004D17F8" w:rsidRDefault="004D17F8" w:rsidP="00496A6E">
            <w:pPr>
              <w:rPr>
                <w:szCs w:val="20"/>
              </w:rPr>
            </w:pPr>
            <w:r>
              <w:rPr>
                <w:szCs w:val="20"/>
              </w:rPr>
              <w:t>Stover EH, Howitt B, Lindeman NI, Garraway LA, et.al.</w:t>
            </w:r>
          </w:p>
          <w:p w:rsidR="004D17F8" w:rsidRDefault="004D17F8" w:rsidP="00496A6E">
            <w:pPr>
              <w:rPr>
                <w:szCs w:val="20"/>
              </w:rPr>
            </w:pPr>
            <w:r w:rsidRPr="004D17F8">
              <w:rPr>
                <w:i/>
                <w:szCs w:val="20"/>
              </w:rPr>
              <w:t>Cancer Research</w:t>
            </w:r>
            <w:r>
              <w:rPr>
                <w:szCs w:val="20"/>
              </w:rPr>
              <w:t>, 2016, 76(14 Supplement): Abstract 95.</w:t>
            </w:r>
          </w:p>
        </w:tc>
        <w:tc>
          <w:tcPr>
            <w:tcW w:w="549" w:type="pct"/>
          </w:tcPr>
          <w:p w:rsidR="002745AB" w:rsidRPr="00063036" w:rsidRDefault="004D17F8" w:rsidP="00DD308E">
            <w:pPr>
              <w:rPr>
                <w:szCs w:val="20"/>
              </w:rPr>
            </w:pPr>
            <w:r>
              <w:rPr>
                <w:szCs w:val="20"/>
              </w:rPr>
              <w:t>April 2016</w:t>
            </w:r>
          </w:p>
        </w:tc>
      </w:tr>
      <w:tr w:rsidR="002745AB" w:rsidTr="00C72A0C">
        <w:trPr>
          <w:cantSplit/>
        </w:trPr>
        <w:tc>
          <w:tcPr>
            <w:tcW w:w="201" w:type="pct"/>
          </w:tcPr>
          <w:p w:rsidR="002745AB" w:rsidRDefault="003A54F3" w:rsidP="00DD308E">
            <w:pPr>
              <w:rPr>
                <w:szCs w:val="20"/>
              </w:rPr>
            </w:pPr>
            <w:r>
              <w:rPr>
                <w:szCs w:val="20"/>
              </w:rPr>
              <w:t>19</w:t>
            </w:r>
          </w:p>
        </w:tc>
        <w:tc>
          <w:tcPr>
            <w:tcW w:w="655" w:type="pct"/>
          </w:tcPr>
          <w:p w:rsidR="002745AB" w:rsidRPr="00063036" w:rsidRDefault="007928A8" w:rsidP="00DD308E">
            <w:pPr>
              <w:rPr>
                <w:szCs w:val="20"/>
              </w:rPr>
            </w:pPr>
            <w:r>
              <w:rPr>
                <w:szCs w:val="20"/>
              </w:rPr>
              <w:t>Diagnostic study</w:t>
            </w:r>
          </w:p>
        </w:tc>
        <w:tc>
          <w:tcPr>
            <w:tcW w:w="532" w:type="pct"/>
          </w:tcPr>
          <w:p w:rsidR="002745AB" w:rsidRPr="00063036" w:rsidRDefault="002745AB" w:rsidP="00E824E2">
            <w:pPr>
              <w:rPr>
                <w:szCs w:val="20"/>
              </w:rPr>
            </w:pPr>
          </w:p>
        </w:tc>
        <w:tc>
          <w:tcPr>
            <w:tcW w:w="1101" w:type="pct"/>
          </w:tcPr>
          <w:p w:rsidR="002745AB" w:rsidRDefault="007928A8" w:rsidP="00206DCC">
            <w:pPr>
              <w:rPr>
                <w:szCs w:val="20"/>
              </w:rPr>
            </w:pPr>
            <w:r>
              <w:rPr>
                <w:szCs w:val="20"/>
              </w:rPr>
              <w:t>A total of 1691 epithelial ovarian cancer tumour samples (63% serous histology)</w:t>
            </w:r>
            <w:r w:rsidR="005A6D54">
              <w:rPr>
                <w:szCs w:val="20"/>
              </w:rPr>
              <w:t xml:space="preserve"> were analysed by multi-platform molecular analysis including next generation sequencing, immunohistochemistry of protein expression  and/or gene amplification (FISH/CISH) to determine </w:t>
            </w:r>
            <w:r w:rsidR="00A52A26">
              <w:rPr>
                <w:szCs w:val="20"/>
              </w:rPr>
              <w:t xml:space="preserve">if there was any difference by histology in frequency of </w:t>
            </w:r>
            <w:r w:rsidR="005A6D54">
              <w:rPr>
                <w:szCs w:val="20"/>
              </w:rPr>
              <w:t>BRCA1 and BRCA2 mutations</w:t>
            </w:r>
          </w:p>
        </w:tc>
        <w:tc>
          <w:tcPr>
            <w:tcW w:w="1962" w:type="pct"/>
          </w:tcPr>
          <w:p w:rsidR="004D17F8" w:rsidRDefault="005B57E8" w:rsidP="00496A6E">
            <w:pPr>
              <w:rPr>
                <w:szCs w:val="20"/>
              </w:rPr>
            </w:pPr>
            <w:hyperlink r:id="rId30" w:tooltip="Link to European Journal of Cancer article" w:history="1">
              <w:r w:rsidR="007928A8" w:rsidRPr="003B0F3D">
                <w:rPr>
                  <w:rStyle w:val="Hyperlink"/>
                  <w:szCs w:val="20"/>
                </w:rPr>
                <w:t>https://ac.els-cdn.com/S0959804916315374/1-s2.0-S0959804916315374-main.pdf?_tid=c92b7f60-1072-11e8-a2ad-00000aacb35f&amp;acdnat=1518494762_71d6c2d3dbb37743a5724d610d08a996</w:t>
              </w:r>
            </w:hyperlink>
          </w:p>
          <w:p w:rsidR="007928A8" w:rsidRDefault="007928A8" w:rsidP="00496A6E">
            <w:pPr>
              <w:rPr>
                <w:szCs w:val="20"/>
              </w:rPr>
            </w:pPr>
            <w:r>
              <w:rPr>
                <w:szCs w:val="20"/>
              </w:rPr>
              <w:t xml:space="preserve">Herzog T, </w:t>
            </w:r>
            <w:proofErr w:type="spellStart"/>
            <w:r>
              <w:rPr>
                <w:szCs w:val="20"/>
              </w:rPr>
              <w:t>Xiu</w:t>
            </w:r>
            <w:proofErr w:type="spellEnd"/>
            <w:r>
              <w:rPr>
                <w:szCs w:val="20"/>
              </w:rPr>
              <w:t xml:space="preserve"> J, Bender R, </w:t>
            </w:r>
            <w:proofErr w:type="spellStart"/>
            <w:r>
              <w:rPr>
                <w:szCs w:val="20"/>
              </w:rPr>
              <w:t>Gatalica</w:t>
            </w:r>
            <w:proofErr w:type="spellEnd"/>
            <w:r>
              <w:rPr>
                <w:szCs w:val="20"/>
              </w:rPr>
              <w:t xml:space="preserve"> Z, et.al.</w:t>
            </w:r>
          </w:p>
          <w:p w:rsidR="007928A8" w:rsidRDefault="007928A8" w:rsidP="00496A6E">
            <w:pPr>
              <w:rPr>
                <w:szCs w:val="20"/>
              </w:rPr>
            </w:pPr>
            <w:r w:rsidRPr="007928A8">
              <w:rPr>
                <w:i/>
                <w:szCs w:val="20"/>
              </w:rPr>
              <w:t>European Journal of Cancer</w:t>
            </w:r>
            <w:r>
              <w:rPr>
                <w:szCs w:val="20"/>
              </w:rPr>
              <w:t xml:space="preserve">, 2015, </w:t>
            </w:r>
            <w:r w:rsidRPr="007928A8">
              <w:rPr>
                <w:b/>
                <w:szCs w:val="20"/>
              </w:rPr>
              <w:t>51</w:t>
            </w:r>
            <w:r>
              <w:rPr>
                <w:szCs w:val="20"/>
              </w:rPr>
              <w:t>(Supplement 3):S554-S555.</w:t>
            </w:r>
          </w:p>
        </w:tc>
        <w:tc>
          <w:tcPr>
            <w:tcW w:w="549" w:type="pct"/>
          </w:tcPr>
          <w:p w:rsidR="002745AB" w:rsidRPr="00063036" w:rsidRDefault="00A52A26" w:rsidP="00DD308E">
            <w:pPr>
              <w:rPr>
                <w:szCs w:val="20"/>
              </w:rPr>
            </w:pPr>
            <w:r>
              <w:rPr>
                <w:szCs w:val="20"/>
              </w:rPr>
              <w:t>September 2015</w:t>
            </w:r>
          </w:p>
        </w:tc>
      </w:tr>
      <w:tr w:rsidR="00177569" w:rsidTr="00C72A0C">
        <w:trPr>
          <w:cantSplit/>
        </w:trPr>
        <w:tc>
          <w:tcPr>
            <w:tcW w:w="201" w:type="pct"/>
          </w:tcPr>
          <w:p w:rsidR="00177569" w:rsidRDefault="003A54F3" w:rsidP="00DD308E">
            <w:pPr>
              <w:rPr>
                <w:szCs w:val="20"/>
              </w:rPr>
            </w:pPr>
            <w:r>
              <w:rPr>
                <w:szCs w:val="20"/>
              </w:rPr>
              <w:lastRenderedPageBreak/>
              <w:t>20</w:t>
            </w:r>
          </w:p>
        </w:tc>
        <w:tc>
          <w:tcPr>
            <w:tcW w:w="655" w:type="pct"/>
          </w:tcPr>
          <w:p w:rsidR="00177569" w:rsidRPr="00063036" w:rsidRDefault="006140CB" w:rsidP="00DD308E">
            <w:pPr>
              <w:rPr>
                <w:szCs w:val="20"/>
              </w:rPr>
            </w:pPr>
            <w:r>
              <w:rPr>
                <w:szCs w:val="20"/>
              </w:rPr>
              <w:t>Diagnostic study</w:t>
            </w:r>
          </w:p>
        </w:tc>
        <w:tc>
          <w:tcPr>
            <w:tcW w:w="532" w:type="pct"/>
          </w:tcPr>
          <w:p w:rsidR="00177569" w:rsidRPr="00063036" w:rsidRDefault="00177569" w:rsidP="00E824E2">
            <w:pPr>
              <w:rPr>
                <w:szCs w:val="20"/>
              </w:rPr>
            </w:pPr>
          </w:p>
        </w:tc>
        <w:tc>
          <w:tcPr>
            <w:tcW w:w="1101" w:type="pct"/>
          </w:tcPr>
          <w:p w:rsidR="00177569" w:rsidRDefault="000F4064" w:rsidP="00206DCC">
            <w:pPr>
              <w:rPr>
                <w:szCs w:val="20"/>
              </w:rPr>
            </w:pPr>
            <w:r>
              <w:rPr>
                <w:szCs w:val="20"/>
              </w:rPr>
              <w:t>Somatic mutation profiling of advanced breast and ovarian cancers a</w:t>
            </w:r>
            <w:r w:rsidR="00A66F8A">
              <w:rPr>
                <w:szCs w:val="20"/>
              </w:rPr>
              <w:t>ccording to germline BRCA1/2 mutation status.</w:t>
            </w:r>
            <w:r w:rsidR="004161D4">
              <w:rPr>
                <w:szCs w:val="20"/>
              </w:rPr>
              <w:t xml:space="preserve">  Targeted sequencing with Illumina </w:t>
            </w:r>
            <w:proofErr w:type="spellStart"/>
            <w:r w:rsidR="004161D4">
              <w:rPr>
                <w:szCs w:val="20"/>
              </w:rPr>
              <w:t>MiSeq</w:t>
            </w:r>
            <w:proofErr w:type="spellEnd"/>
            <w:r w:rsidR="004161D4">
              <w:rPr>
                <w:szCs w:val="20"/>
              </w:rPr>
              <w:t xml:space="preserve"> </w:t>
            </w:r>
            <w:proofErr w:type="spellStart"/>
            <w:r w:rsidR="004161D4">
              <w:rPr>
                <w:szCs w:val="20"/>
              </w:rPr>
              <w:t>TruSeq</w:t>
            </w:r>
            <w:proofErr w:type="spellEnd"/>
            <w:r w:rsidR="004161D4">
              <w:rPr>
                <w:szCs w:val="20"/>
              </w:rPr>
              <w:t xml:space="preserve"> Amplicon Cancer Panel was performed using archival tumour and germline DNA from advanced breast cancer and ovarian cancer </w:t>
            </w:r>
            <w:r w:rsidR="002D3C3F">
              <w:rPr>
                <w:szCs w:val="20"/>
              </w:rPr>
              <w:t xml:space="preserve">patients.  Somatic testing was completed in 151 ovarian cancer patients and germline BRCA1/2 testing in 83 ovarian cancer patients. </w:t>
            </w:r>
          </w:p>
          <w:p w:rsidR="00A66F8A" w:rsidRDefault="00A66F8A" w:rsidP="00206DCC">
            <w:pPr>
              <w:rPr>
                <w:szCs w:val="20"/>
              </w:rPr>
            </w:pPr>
          </w:p>
        </w:tc>
        <w:tc>
          <w:tcPr>
            <w:tcW w:w="1962" w:type="pct"/>
          </w:tcPr>
          <w:p w:rsidR="00177569" w:rsidRDefault="005B57E8" w:rsidP="00496A6E">
            <w:pPr>
              <w:rPr>
                <w:szCs w:val="20"/>
              </w:rPr>
            </w:pPr>
            <w:hyperlink r:id="rId31" w:tooltip="Link to Journal of Clinical Oncology article" w:history="1">
              <w:r w:rsidR="00A66F8A" w:rsidRPr="003B0F3D">
                <w:rPr>
                  <w:rStyle w:val="Hyperlink"/>
                  <w:szCs w:val="20"/>
                </w:rPr>
                <w:t>http://ascopubs.org/doi/abs/10.1200/jco.2015.33.15_suppl.1532</w:t>
              </w:r>
            </w:hyperlink>
          </w:p>
          <w:p w:rsidR="000F4064" w:rsidRDefault="000F4064" w:rsidP="00496A6E">
            <w:pPr>
              <w:rPr>
                <w:szCs w:val="20"/>
              </w:rPr>
            </w:pPr>
            <w:proofErr w:type="spellStart"/>
            <w:r>
              <w:rPr>
                <w:szCs w:val="20"/>
              </w:rPr>
              <w:t>Stjepanovic</w:t>
            </w:r>
            <w:proofErr w:type="spellEnd"/>
            <w:r>
              <w:rPr>
                <w:szCs w:val="20"/>
              </w:rPr>
              <w:t xml:space="preserve"> N, Wilson MK, </w:t>
            </w:r>
            <w:proofErr w:type="spellStart"/>
            <w:r>
              <w:rPr>
                <w:szCs w:val="20"/>
              </w:rPr>
              <w:t>Oza</w:t>
            </w:r>
            <w:proofErr w:type="spellEnd"/>
            <w:r>
              <w:rPr>
                <w:szCs w:val="20"/>
              </w:rPr>
              <w:t xml:space="preserve"> AM, Clarke B, et.al.</w:t>
            </w:r>
          </w:p>
          <w:p w:rsidR="000F4064" w:rsidRDefault="000F4064" w:rsidP="00496A6E">
            <w:pPr>
              <w:rPr>
                <w:szCs w:val="20"/>
              </w:rPr>
            </w:pPr>
            <w:r>
              <w:rPr>
                <w:szCs w:val="20"/>
              </w:rPr>
              <w:t>Journal of Clinical Oncology, 2015, 33(15 Supplement 1)</w:t>
            </w:r>
          </w:p>
        </w:tc>
        <w:tc>
          <w:tcPr>
            <w:tcW w:w="549" w:type="pct"/>
          </w:tcPr>
          <w:p w:rsidR="00177569" w:rsidRPr="00063036" w:rsidRDefault="000F4064" w:rsidP="00DD308E">
            <w:pPr>
              <w:rPr>
                <w:szCs w:val="20"/>
              </w:rPr>
            </w:pPr>
            <w:r>
              <w:rPr>
                <w:szCs w:val="20"/>
              </w:rPr>
              <w:t>May 2015</w:t>
            </w:r>
          </w:p>
        </w:tc>
      </w:tr>
      <w:tr w:rsidR="00177569" w:rsidTr="00C72A0C">
        <w:trPr>
          <w:cantSplit/>
        </w:trPr>
        <w:tc>
          <w:tcPr>
            <w:tcW w:w="201" w:type="pct"/>
          </w:tcPr>
          <w:p w:rsidR="00177569" w:rsidRDefault="003A54F3" w:rsidP="00DD308E">
            <w:pPr>
              <w:rPr>
                <w:szCs w:val="20"/>
              </w:rPr>
            </w:pPr>
            <w:r>
              <w:rPr>
                <w:szCs w:val="20"/>
              </w:rPr>
              <w:lastRenderedPageBreak/>
              <w:t>21</w:t>
            </w:r>
          </w:p>
        </w:tc>
        <w:tc>
          <w:tcPr>
            <w:tcW w:w="655" w:type="pct"/>
          </w:tcPr>
          <w:p w:rsidR="00177569" w:rsidRPr="00063036" w:rsidRDefault="006140CB" w:rsidP="00DD308E">
            <w:pPr>
              <w:rPr>
                <w:szCs w:val="20"/>
              </w:rPr>
            </w:pPr>
            <w:r>
              <w:rPr>
                <w:szCs w:val="20"/>
              </w:rPr>
              <w:t>Diagnostic study</w:t>
            </w:r>
          </w:p>
        </w:tc>
        <w:tc>
          <w:tcPr>
            <w:tcW w:w="532" w:type="pct"/>
          </w:tcPr>
          <w:p w:rsidR="00177569" w:rsidRPr="00063036" w:rsidRDefault="00177569" w:rsidP="00E824E2">
            <w:pPr>
              <w:rPr>
                <w:szCs w:val="20"/>
              </w:rPr>
            </w:pPr>
          </w:p>
        </w:tc>
        <w:tc>
          <w:tcPr>
            <w:tcW w:w="1101" w:type="pct"/>
          </w:tcPr>
          <w:p w:rsidR="00177569" w:rsidRDefault="003A37AB" w:rsidP="00206DCC">
            <w:pPr>
              <w:rPr>
                <w:szCs w:val="20"/>
              </w:rPr>
            </w:pPr>
            <w:r>
              <w:rPr>
                <w:szCs w:val="20"/>
              </w:rPr>
              <w:t xml:space="preserve">Analysis of DNA extracted from FFPE ovarian and breast tumour tissue (including 64 serous ovarian cancer samples) to identify significant variants in BRCA1/2 using next generation sequencing methods (Illumina </w:t>
            </w:r>
            <w:proofErr w:type="spellStart"/>
            <w:r>
              <w:rPr>
                <w:szCs w:val="20"/>
              </w:rPr>
              <w:t>MiSeq</w:t>
            </w:r>
            <w:proofErr w:type="spellEnd"/>
            <w:r>
              <w:rPr>
                <w:szCs w:val="20"/>
              </w:rPr>
              <w:t xml:space="preserve">). DNA extraction </w:t>
            </w:r>
            <w:r w:rsidR="004263CD">
              <w:rPr>
                <w:szCs w:val="20"/>
              </w:rPr>
              <w:t xml:space="preserve">and enrichment </w:t>
            </w:r>
            <w:r>
              <w:rPr>
                <w:szCs w:val="20"/>
              </w:rPr>
              <w:t xml:space="preserve">with </w:t>
            </w:r>
            <w:proofErr w:type="spellStart"/>
            <w:r>
              <w:rPr>
                <w:szCs w:val="20"/>
              </w:rPr>
              <w:t>GeneRead</w:t>
            </w:r>
            <w:proofErr w:type="spellEnd"/>
            <w:r>
              <w:rPr>
                <w:szCs w:val="20"/>
              </w:rPr>
              <w:t xml:space="preserve"> </w:t>
            </w:r>
            <w:proofErr w:type="spellStart"/>
            <w:r>
              <w:rPr>
                <w:szCs w:val="20"/>
              </w:rPr>
              <w:t>DNASeq</w:t>
            </w:r>
            <w:proofErr w:type="spellEnd"/>
            <w:r>
              <w:rPr>
                <w:szCs w:val="20"/>
              </w:rPr>
              <w:t xml:space="preserve"> Targeted Exon Enrichment </w:t>
            </w:r>
            <w:r w:rsidR="004263CD">
              <w:rPr>
                <w:szCs w:val="20"/>
              </w:rPr>
              <w:t xml:space="preserve">Panels, and Ion </w:t>
            </w:r>
            <w:proofErr w:type="spellStart"/>
            <w:r w:rsidR="004263CD">
              <w:rPr>
                <w:szCs w:val="20"/>
              </w:rPr>
              <w:t>Ampliseq</w:t>
            </w:r>
            <w:proofErr w:type="spellEnd"/>
            <w:r w:rsidR="004263CD">
              <w:rPr>
                <w:szCs w:val="20"/>
              </w:rPr>
              <w:t xml:space="preserve"> BRCA community panel and </w:t>
            </w:r>
            <w:proofErr w:type="spellStart"/>
            <w:r w:rsidR="004263CD">
              <w:rPr>
                <w:szCs w:val="20"/>
              </w:rPr>
              <w:t>TruSeq</w:t>
            </w:r>
            <w:proofErr w:type="spellEnd"/>
            <w:r w:rsidR="004263CD">
              <w:rPr>
                <w:szCs w:val="20"/>
              </w:rPr>
              <w:t xml:space="preserve"> DNA PCR-free HT Sample preparation Kit.</w:t>
            </w:r>
            <w:r>
              <w:rPr>
                <w:szCs w:val="20"/>
              </w:rPr>
              <w:t xml:space="preserve"> </w:t>
            </w:r>
          </w:p>
        </w:tc>
        <w:tc>
          <w:tcPr>
            <w:tcW w:w="1962" w:type="pct"/>
          </w:tcPr>
          <w:p w:rsidR="00177569" w:rsidRDefault="005B57E8" w:rsidP="00496A6E">
            <w:pPr>
              <w:rPr>
                <w:szCs w:val="20"/>
              </w:rPr>
            </w:pPr>
            <w:hyperlink r:id="rId32" w:tooltip="Link to BMC Clinical Pathology article" w:history="1">
              <w:r w:rsidR="006140CB" w:rsidRPr="003B0F3D">
                <w:rPr>
                  <w:rStyle w:val="Hyperlink"/>
                  <w:szCs w:val="20"/>
                </w:rPr>
                <w:t>https://bmcclinpathol.biomedcentral.com/track/pdf/10.1186/s12907-015-0004-6?site=bmcclinpathol.biomedcentral.com</w:t>
              </w:r>
            </w:hyperlink>
          </w:p>
          <w:p w:rsidR="006140CB" w:rsidRDefault="006140CB" w:rsidP="00496A6E">
            <w:pPr>
              <w:rPr>
                <w:szCs w:val="20"/>
              </w:rPr>
            </w:pPr>
            <w:r>
              <w:rPr>
                <w:szCs w:val="20"/>
              </w:rPr>
              <w:t xml:space="preserve">Ellison G, Huang S, </w:t>
            </w:r>
            <w:proofErr w:type="spellStart"/>
            <w:r>
              <w:rPr>
                <w:szCs w:val="20"/>
              </w:rPr>
              <w:t>Carr</w:t>
            </w:r>
            <w:proofErr w:type="spellEnd"/>
            <w:r>
              <w:rPr>
                <w:szCs w:val="20"/>
              </w:rPr>
              <w:t xml:space="preserve"> H, Wallace A, et.al.</w:t>
            </w:r>
          </w:p>
          <w:p w:rsidR="003312D9" w:rsidRDefault="006140CB" w:rsidP="00496A6E">
            <w:pPr>
              <w:rPr>
                <w:szCs w:val="20"/>
              </w:rPr>
            </w:pPr>
            <w:r w:rsidRPr="006140CB">
              <w:rPr>
                <w:i/>
                <w:szCs w:val="20"/>
              </w:rPr>
              <w:t>BMC Clinical Pathology</w:t>
            </w:r>
            <w:r>
              <w:rPr>
                <w:szCs w:val="20"/>
              </w:rPr>
              <w:t xml:space="preserve">, 2015, </w:t>
            </w:r>
            <w:r w:rsidRPr="006140CB">
              <w:rPr>
                <w:b/>
                <w:szCs w:val="20"/>
              </w:rPr>
              <w:t>15</w:t>
            </w:r>
            <w:r>
              <w:rPr>
                <w:szCs w:val="20"/>
              </w:rPr>
              <w:t>(1):5.</w:t>
            </w:r>
          </w:p>
          <w:p w:rsidR="003312D9" w:rsidRDefault="003312D9" w:rsidP="00496A6E">
            <w:pPr>
              <w:rPr>
                <w:szCs w:val="20"/>
              </w:rPr>
            </w:pPr>
            <w:r>
              <w:rPr>
                <w:szCs w:val="20"/>
              </w:rPr>
              <w:t>And</w:t>
            </w:r>
          </w:p>
          <w:p w:rsidR="003312D9" w:rsidRDefault="005B57E8" w:rsidP="00496A6E">
            <w:pPr>
              <w:rPr>
                <w:szCs w:val="20"/>
              </w:rPr>
            </w:pPr>
            <w:hyperlink r:id="rId33" w:tooltip="Link to Journal of Molecular Diagnostics article" w:history="1">
              <w:r w:rsidR="004C16A6" w:rsidRPr="00BF3560">
                <w:rPr>
                  <w:rStyle w:val="Hyperlink"/>
                  <w:szCs w:val="20"/>
                </w:rPr>
                <w:t>https://ac.els-cdn.com/S1525157814001731/1-s2.0-S1525157814001731-main.pdf?_tid=f2e15168-111c-11e8-864d-00000aacb362&amp;acdnat=1518567855_3f5d9a2aae98a7fef72138a5ae47fda9</w:t>
              </w:r>
            </w:hyperlink>
          </w:p>
          <w:p w:rsidR="004C16A6" w:rsidRDefault="00617A3D" w:rsidP="00496A6E">
            <w:pPr>
              <w:rPr>
                <w:szCs w:val="20"/>
              </w:rPr>
            </w:pPr>
            <w:r>
              <w:rPr>
                <w:szCs w:val="20"/>
              </w:rPr>
              <w:t xml:space="preserve">Wallace A, Ellison G, Huang S, </w:t>
            </w:r>
            <w:proofErr w:type="spellStart"/>
            <w:r>
              <w:rPr>
                <w:szCs w:val="20"/>
              </w:rPr>
              <w:t>Carr</w:t>
            </w:r>
            <w:proofErr w:type="spellEnd"/>
            <w:r>
              <w:rPr>
                <w:szCs w:val="20"/>
              </w:rPr>
              <w:t xml:space="preserve"> H, et.al.</w:t>
            </w:r>
          </w:p>
          <w:p w:rsidR="00617A3D" w:rsidRDefault="00617A3D" w:rsidP="00496A6E">
            <w:pPr>
              <w:rPr>
                <w:szCs w:val="20"/>
              </w:rPr>
            </w:pPr>
            <w:r w:rsidRPr="00C37E43">
              <w:rPr>
                <w:i/>
                <w:szCs w:val="20"/>
              </w:rPr>
              <w:t>Journal of Molecular Diagnostics</w:t>
            </w:r>
            <w:r>
              <w:rPr>
                <w:szCs w:val="20"/>
              </w:rPr>
              <w:t>, 2014, 16(6): 752 Abstract ST31.</w:t>
            </w:r>
          </w:p>
          <w:p w:rsidR="00617A3D" w:rsidRDefault="00617A3D" w:rsidP="00496A6E">
            <w:pPr>
              <w:rPr>
                <w:szCs w:val="20"/>
              </w:rPr>
            </w:pPr>
            <w:r>
              <w:rPr>
                <w:szCs w:val="20"/>
              </w:rPr>
              <w:t>And</w:t>
            </w:r>
          </w:p>
          <w:p w:rsidR="00617A3D" w:rsidRDefault="005B57E8" w:rsidP="00496A6E">
            <w:pPr>
              <w:rPr>
                <w:szCs w:val="20"/>
              </w:rPr>
            </w:pPr>
            <w:hyperlink r:id="rId34" w:tooltip="Link to Current Oncology article" w:history="1">
              <w:r w:rsidR="00C37E43" w:rsidRPr="00BF3560">
                <w:rPr>
                  <w:rStyle w:val="Hyperlink"/>
                  <w:szCs w:val="20"/>
                </w:rPr>
                <w:t>http://www.current-oncology.com/index.php/oncology/article/view/2077/1463</w:t>
              </w:r>
            </w:hyperlink>
          </w:p>
          <w:p w:rsidR="00C37E43" w:rsidRDefault="00C37E43" w:rsidP="00496A6E">
            <w:pPr>
              <w:rPr>
                <w:szCs w:val="20"/>
              </w:rPr>
            </w:pPr>
            <w:r>
              <w:rPr>
                <w:szCs w:val="20"/>
              </w:rPr>
              <w:t xml:space="preserve">Ellison G, Huang S, </w:t>
            </w:r>
            <w:proofErr w:type="spellStart"/>
            <w:r>
              <w:rPr>
                <w:szCs w:val="20"/>
              </w:rPr>
              <w:t>Carr</w:t>
            </w:r>
            <w:proofErr w:type="spellEnd"/>
            <w:r>
              <w:rPr>
                <w:szCs w:val="20"/>
              </w:rPr>
              <w:t xml:space="preserve"> H, Wallace A, et.al.</w:t>
            </w:r>
          </w:p>
          <w:p w:rsidR="00C37E43" w:rsidRDefault="00C37E43" w:rsidP="00496A6E">
            <w:pPr>
              <w:rPr>
                <w:szCs w:val="20"/>
              </w:rPr>
            </w:pPr>
            <w:r w:rsidRPr="00917806">
              <w:rPr>
                <w:i/>
                <w:szCs w:val="20"/>
              </w:rPr>
              <w:t>Current Oncology</w:t>
            </w:r>
            <w:r>
              <w:rPr>
                <w:szCs w:val="20"/>
              </w:rPr>
              <w:t xml:space="preserve">, 2014, 21(2):752 </w:t>
            </w:r>
            <w:r w:rsidR="00917806">
              <w:rPr>
                <w:szCs w:val="20"/>
              </w:rPr>
              <w:t xml:space="preserve">(e378) </w:t>
            </w:r>
            <w:r>
              <w:rPr>
                <w:szCs w:val="20"/>
              </w:rPr>
              <w:t>Abstract P059</w:t>
            </w:r>
          </w:p>
        </w:tc>
        <w:tc>
          <w:tcPr>
            <w:tcW w:w="549" w:type="pct"/>
          </w:tcPr>
          <w:p w:rsidR="00177569" w:rsidRDefault="002D3C3F" w:rsidP="00DD308E">
            <w:pPr>
              <w:rPr>
                <w:szCs w:val="20"/>
              </w:rPr>
            </w:pPr>
            <w:r>
              <w:rPr>
                <w:szCs w:val="20"/>
              </w:rPr>
              <w:t>March 2015</w:t>
            </w:r>
          </w:p>
          <w:p w:rsidR="00C94F16" w:rsidRPr="00C94F16" w:rsidRDefault="00C94F16" w:rsidP="00DD308E">
            <w:pPr>
              <w:rPr>
                <w:sz w:val="130"/>
                <w:szCs w:val="130"/>
              </w:rPr>
            </w:pPr>
          </w:p>
          <w:p w:rsidR="004C16A6" w:rsidRPr="00063036" w:rsidRDefault="004C16A6" w:rsidP="00DD308E">
            <w:pPr>
              <w:rPr>
                <w:szCs w:val="20"/>
              </w:rPr>
            </w:pPr>
            <w:r>
              <w:rPr>
                <w:szCs w:val="20"/>
              </w:rPr>
              <w:t>November 2014</w:t>
            </w:r>
          </w:p>
        </w:tc>
      </w:tr>
      <w:tr w:rsidR="000F4064" w:rsidTr="00C72A0C">
        <w:trPr>
          <w:cantSplit/>
        </w:trPr>
        <w:tc>
          <w:tcPr>
            <w:tcW w:w="201" w:type="pct"/>
          </w:tcPr>
          <w:p w:rsidR="000F4064" w:rsidRDefault="003A54F3" w:rsidP="00DD308E">
            <w:pPr>
              <w:rPr>
                <w:szCs w:val="20"/>
              </w:rPr>
            </w:pPr>
            <w:r>
              <w:rPr>
                <w:szCs w:val="20"/>
              </w:rPr>
              <w:lastRenderedPageBreak/>
              <w:t>22</w:t>
            </w:r>
          </w:p>
        </w:tc>
        <w:tc>
          <w:tcPr>
            <w:tcW w:w="655" w:type="pct"/>
          </w:tcPr>
          <w:p w:rsidR="000F4064" w:rsidRPr="00063036" w:rsidRDefault="00C846F2" w:rsidP="00DD308E">
            <w:pPr>
              <w:rPr>
                <w:szCs w:val="20"/>
              </w:rPr>
            </w:pPr>
            <w:r>
              <w:rPr>
                <w:szCs w:val="20"/>
              </w:rPr>
              <w:t>Diagnostic</w:t>
            </w:r>
            <w:r w:rsidR="00FF7C9D">
              <w:rPr>
                <w:szCs w:val="20"/>
              </w:rPr>
              <w:t xml:space="preserve"> and comparative clinical outcomes study.</w:t>
            </w:r>
          </w:p>
        </w:tc>
        <w:tc>
          <w:tcPr>
            <w:tcW w:w="532" w:type="pct"/>
          </w:tcPr>
          <w:p w:rsidR="000F4064" w:rsidRPr="00063036" w:rsidRDefault="000F4064" w:rsidP="00E824E2">
            <w:pPr>
              <w:rPr>
                <w:szCs w:val="20"/>
              </w:rPr>
            </w:pPr>
          </w:p>
        </w:tc>
        <w:tc>
          <w:tcPr>
            <w:tcW w:w="1101" w:type="pct"/>
          </w:tcPr>
          <w:p w:rsidR="000F4064" w:rsidRDefault="00757448" w:rsidP="00206DCC">
            <w:pPr>
              <w:rPr>
                <w:szCs w:val="20"/>
              </w:rPr>
            </w:pPr>
            <w:r>
              <w:rPr>
                <w:szCs w:val="20"/>
              </w:rPr>
              <w:t xml:space="preserve">Germline and somatic </w:t>
            </w:r>
            <w:r w:rsidR="00362ED3">
              <w:rPr>
                <w:szCs w:val="20"/>
              </w:rPr>
              <w:t>mutations in homologous recombination genes were detected using targeted capture (BROCA panel)</w:t>
            </w:r>
            <w:r w:rsidR="00C33898">
              <w:rPr>
                <w:szCs w:val="20"/>
              </w:rPr>
              <w:t xml:space="preserve"> and massively parallel genomic sequencing</w:t>
            </w:r>
            <w:r w:rsidR="005921FA">
              <w:rPr>
                <w:szCs w:val="20"/>
              </w:rPr>
              <w:t xml:space="preserve"> </w:t>
            </w:r>
            <w:r w:rsidR="00A16A97">
              <w:rPr>
                <w:szCs w:val="20"/>
              </w:rPr>
              <w:t xml:space="preserve">(next generation sequencing) </w:t>
            </w:r>
            <w:r w:rsidR="005921FA">
              <w:rPr>
                <w:szCs w:val="20"/>
              </w:rPr>
              <w:t xml:space="preserve">in </w:t>
            </w:r>
            <w:r w:rsidR="00645D30">
              <w:rPr>
                <w:szCs w:val="20"/>
              </w:rPr>
              <w:t>390 ovarian carcinomas, including 239 high grade serous carcinomas.  For all suspected loss of function variants PCR amplification and Sanger sequencing were performed both on lymphocyte derived (germline) and neoplastic DNA to confirm and classify the mutation as somatic or germline.</w:t>
            </w:r>
            <w:r w:rsidR="00362ED3">
              <w:rPr>
                <w:szCs w:val="20"/>
              </w:rPr>
              <w:t xml:space="preserve"> The presence of these gene mutations predicts platinum response and survival in ovarian, </w:t>
            </w:r>
            <w:r w:rsidR="00645D30">
              <w:rPr>
                <w:szCs w:val="20"/>
              </w:rPr>
              <w:t>f</w:t>
            </w:r>
            <w:r w:rsidR="00362ED3">
              <w:rPr>
                <w:szCs w:val="20"/>
              </w:rPr>
              <w:t>allopian tube and peritoneal carcinomas.</w:t>
            </w:r>
          </w:p>
        </w:tc>
        <w:tc>
          <w:tcPr>
            <w:tcW w:w="1962" w:type="pct"/>
          </w:tcPr>
          <w:p w:rsidR="000F4064" w:rsidRDefault="00645D30" w:rsidP="00496A6E">
            <w:pPr>
              <w:rPr>
                <w:szCs w:val="20"/>
              </w:rPr>
            </w:pPr>
            <w:r>
              <w:rPr>
                <w:szCs w:val="20"/>
              </w:rPr>
              <w:t xml:space="preserve">Pennington KP, Walsh T, Harrell MI, </w:t>
            </w:r>
            <w:r w:rsidR="00C846F2">
              <w:rPr>
                <w:szCs w:val="20"/>
              </w:rPr>
              <w:t>Lee MK, et.al.</w:t>
            </w:r>
          </w:p>
          <w:p w:rsidR="00C846F2" w:rsidRDefault="00C846F2" w:rsidP="00496A6E">
            <w:pPr>
              <w:rPr>
                <w:szCs w:val="20"/>
              </w:rPr>
            </w:pPr>
            <w:r w:rsidRPr="00C846F2">
              <w:rPr>
                <w:i/>
                <w:szCs w:val="20"/>
              </w:rPr>
              <w:t>Clinical Cancer Research</w:t>
            </w:r>
            <w:r>
              <w:rPr>
                <w:szCs w:val="20"/>
              </w:rPr>
              <w:t xml:space="preserve">, 2014, 20(3):764 </w:t>
            </w:r>
          </w:p>
          <w:p w:rsidR="00662FCA" w:rsidRDefault="00662FCA" w:rsidP="00496A6E">
            <w:pPr>
              <w:rPr>
                <w:szCs w:val="20"/>
              </w:rPr>
            </w:pPr>
          </w:p>
          <w:p w:rsidR="00662FCA" w:rsidRDefault="00662FCA" w:rsidP="00496A6E">
            <w:pPr>
              <w:rPr>
                <w:szCs w:val="20"/>
              </w:rPr>
            </w:pPr>
            <w:r>
              <w:rPr>
                <w:szCs w:val="20"/>
              </w:rPr>
              <w:t xml:space="preserve">And </w:t>
            </w:r>
          </w:p>
          <w:p w:rsidR="00662FCA" w:rsidRDefault="00662FCA" w:rsidP="00496A6E">
            <w:pPr>
              <w:rPr>
                <w:szCs w:val="20"/>
              </w:rPr>
            </w:pPr>
          </w:p>
          <w:p w:rsidR="00662FCA" w:rsidRDefault="005B57E8" w:rsidP="00496A6E">
            <w:pPr>
              <w:rPr>
                <w:szCs w:val="20"/>
              </w:rPr>
            </w:pPr>
            <w:hyperlink r:id="rId35" w:tooltip="Link to Gynecologic Oncology article" w:history="1">
              <w:r w:rsidR="00C152A6" w:rsidRPr="00BF3560">
                <w:rPr>
                  <w:rStyle w:val="Hyperlink"/>
                  <w:szCs w:val="20"/>
                </w:rPr>
                <w:t>https://ac.els-cdn.com/S0090825813009438/1-s2.0-S0090825813009438-main.pdf?_tid=8114155a-1146-11e8-aa19-00000aacb360&amp;acdnat=1518585695_8697136926bbdb45f1192c6efe89e843</w:t>
              </w:r>
            </w:hyperlink>
          </w:p>
          <w:p w:rsidR="005B2B25" w:rsidRDefault="005B2B25" w:rsidP="005B2B25">
            <w:pPr>
              <w:rPr>
                <w:szCs w:val="20"/>
              </w:rPr>
            </w:pPr>
            <w:r>
              <w:rPr>
                <w:szCs w:val="20"/>
              </w:rPr>
              <w:t>Pennington K, Walsh T, Harrell M, Lee M</w:t>
            </w:r>
          </w:p>
          <w:p w:rsidR="00C152A6" w:rsidRDefault="005B2B25" w:rsidP="005B2B25">
            <w:pPr>
              <w:rPr>
                <w:szCs w:val="20"/>
              </w:rPr>
            </w:pPr>
            <w:proofErr w:type="spellStart"/>
            <w:r>
              <w:rPr>
                <w:szCs w:val="20"/>
              </w:rPr>
              <w:t>Gynecologic</w:t>
            </w:r>
            <w:proofErr w:type="spellEnd"/>
            <w:r>
              <w:rPr>
                <w:szCs w:val="20"/>
              </w:rPr>
              <w:t xml:space="preserve"> Oncology, 2013, 131(1):257-58.</w:t>
            </w:r>
          </w:p>
          <w:p w:rsidR="00C152A6" w:rsidRDefault="00C152A6" w:rsidP="00496A6E">
            <w:pPr>
              <w:rPr>
                <w:szCs w:val="20"/>
              </w:rPr>
            </w:pPr>
          </w:p>
          <w:p w:rsidR="00853BAD" w:rsidRDefault="00853BAD" w:rsidP="00496A6E">
            <w:pPr>
              <w:rPr>
                <w:szCs w:val="20"/>
              </w:rPr>
            </w:pPr>
            <w:r>
              <w:rPr>
                <w:szCs w:val="20"/>
              </w:rPr>
              <w:t>And</w:t>
            </w:r>
          </w:p>
          <w:p w:rsidR="00D31E83" w:rsidRDefault="005B57E8" w:rsidP="00496A6E">
            <w:pPr>
              <w:rPr>
                <w:szCs w:val="20"/>
              </w:rPr>
            </w:pPr>
            <w:hyperlink r:id="rId36" w:tooltip="Link to Gynecologic Oncology article" w:history="1">
              <w:r w:rsidR="00D31E83" w:rsidRPr="009E7ACC">
                <w:rPr>
                  <w:rStyle w:val="Hyperlink"/>
                  <w:szCs w:val="20"/>
                </w:rPr>
                <w:t>https://ac.els-cdn.com/S0090825811009814/1-s2.0-S0090825811009814-main.pdf?_tid=d5dd19d8-11f0-11e8-9f9b-00000aab0f6b&amp;acdnat=1518658851_d764cadb5d00523acb1281dd36c70657</w:t>
              </w:r>
            </w:hyperlink>
          </w:p>
          <w:p w:rsidR="00D31E83" w:rsidRDefault="00D31E83" w:rsidP="00496A6E">
            <w:pPr>
              <w:rPr>
                <w:szCs w:val="20"/>
              </w:rPr>
            </w:pPr>
            <w:r>
              <w:rPr>
                <w:szCs w:val="20"/>
              </w:rPr>
              <w:t xml:space="preserve">Pennington K, Walsh T, </w:t>
            </w:r>
            <w:proofErr w:type="spellStart"/>
            <w:r>
              <w:rPr>
                <w:szCs w:val="20"/>
              </w:rPr>
              <w:t>Casadei</w:t>
            </w:r>
            <w:proofErr w:type="spellEnd"/>
            <w:r>
              <w:rPr>
                <w:szCs w:val="20"/>
              </w:rPr>
              <w:t xml:space="preserve"> S, Lee M, et.al.</w:t>
            </w:r>
          </w:p>
          <w:p w:rsidR="00D31E83" w:rsidRDefault="00D31E83" w:rsidP="00496A6E">
            <w:pPr>
              <w:rPr>
                <w:szCs w:val="20"/>
              </w:rPr>
            </w:pPr>
            <w:r>
              <w:rPr>
                <w:szCs w:val="20"/>
              </w:rPr>
              <w:t xml:space="preserve">Gynaecologic Oncology, 2012, 125(Supplement 1):S5-6. </w:t>
            </w:r>
          </w:p>
        </w:tc>
        <w:tc>
          <w:tcPr>
            <w:tcW w:w="549" w:type="pct"/>
          </w:tcPr>
          <w:p w:rsidR="000F4064" w:rsidRDefault="00C846F2" w:rsidP="00DD308E">
            <w:pPr>
              <w:rPr>
                <w:szCs w:val="20"/>
              </w:rPr>
            </w:pPr>
            <w:r>
              <w:rPr>
                <w:szCs w:val="20"/>
              </w:rPr>
              <w:t>February 2014</w:t>
            </w:r>
          </w:p>
          <w:p w:rsidR="00A03122" w:rsidRPr="00C94F16" w:rsidRDefault="00A03122" w:rsidP="00DD308E">
            <w:pPr>
              <w:rPr>
                <w:sz w:val="144"/>
                <w:szCs w:val="144"/>
              </w:rPr>
            </w:pPr>
          </w:p>
          <w:p w:rsidR="00A03122" w:rsidRDefault="003A2A92" w:rsidP="00DD308E">
            <w:pPr>
              <w:rPr>
                <w:szCs w:val="20"/>
              </w:rPr>
            </w:pPr>
            <w:r>
              <w:rPr>
                <w:szCs w:val="20"/>
              </w:rPr>
              <w:t>October 2013</w:t>
            </w:r>
          </w:p>
          <w:p w:rsidR="00C94F16" w:rsidRPr="00C94F16" w:rsidRDefault="00C94F16" w:rsidP="00C94F16">
            <w:pPr>
              <w:rPr>
                <w:sz w:val="144"/>
                <w:szCs w:val="144"/>
              </w:rPr>
            </w:pPr>
          </w:p>
          <w:p w:rsidR="00C94F16" w:rsidRDefault="00C94F16" w:rsidP="00DD308E">
            <w:pPr>
              <w:rPr>
                <w:szCs w:val="20"/>
              </w:rPr>
            </w:pPr>
          </w:p>
          <w:p w:rsidR="00A03122" w:rsidRDefault="00A03122" w:rsidP="00DD308E">
            <w:pPr>
              <w:rPr>
                <w:szCs w:val="20"/>
              </w:rPr>
            </w:pPr>
            <w:r>
              <w:rPr>
                <w:szCs w:val="20"/>
              </w:rPr>
              <w:t>March 2012</w:t>
            </w:r>
          </w:p>
          <w:p w:rsidR="007C4730" w:rsidRDefault="007C4730" w:rsidP="00DD308E">
            <w:pPr>
              <w:rPr>
                <w:szCs w:val="20"/>
              </w:rPr>
            </w:pPr>
          </w:p>
          <w:p w:rsidR="007C4730" w:rsidRDefault="007C4730" w:rsidP="00DD308E">
            <w:pPr>
              <w:rPr>
                <w:szCs w:val="20"/>
              </w:rPr>
            </w:pPr>
          </w:p>
          <w:p w:rsidR="007C4730" w:rsidRPr="00063036" w:rsidRDefault="007C4730" w:rsidP="00DD308E">
            <w:pPr>
              <w:rPr>
                <w:szCs w:val="20"/>
              </w:rPr>
            </w:pPr>
          </w:p>
        </w:tc>
      </w:tr>
      <w:tr w:rsidR="000F4064" w:rsidTr="00C72A0C">
        <w:trPr>
          <w:cantSplit/>
        </w:trPr>
        <w:tc>
          <w:tcPr>
            <w:tcW w:w="201" w:type="pct"/>
          </w:tcPr>
          <w:p w:rsidR="000F4064" w:rsidRDefault="003A54F3" w:rsidP="00DD308E">
            <w:pPr>
              <w:rPr>
                <w:szCs w:val="20"/>
              </w:rPr>
            </w:pPr>
            <w:r>
              <w:rPr>
                <w:szCs w:val="20"/>
              </w:rPr>
              <w:lastRenderedPageBreak/>
              <w:t>23</w:t>
            </w:r>
          </w:p>
        </w:tc>
        <w:tc>
          <w:tcPr>
            <w:tcW w:w="655" w:type="pct"/>
          </w:tcPr>
          <w:p w:rsidR="000F4064" w:rsidRPr="00063036" w:rsidRDefault="00F561B5" w:rsidP="00DD308E">
            <w:pPr>
              <w:rPr>
                <w:szCs w:val="20"/>
              </w:rPr>
            </w:pPr>
            <w:r>
              <w:rPr>
                <w:szCs w:val="20"/>
              </w:rPr>
              <w:t>Diagnostic study</w:t>
            </w:r>
          </w:p>
        </w:tc>
        <w:tc>
          <w:tcPr>
            <w:tcW w:w="532" w:type="pct"/>
          </w:tcPr>
          <w:p w:rsidR="000F4064" w:rsidRPr="00063036" w:rsidRDefault="000F4064" w:rsidP="00E824E2">
            <w:pPr>
              <w:rPr>
                <w:szCs w:val="20"/>
              </w:rPr>
            </w:pPr>
          </w:p>
        </w:tc>
        <w:tc>
          <w:tcPr>
            <w:tcW w:w="1101" w:type="pct"/>
          </w:tcPr>
          <w:p w:rsidR="000F4064" w:rsidRDefault="001F5010" w:rsidP="00206DCC">
            <w:pPr>
              <w:rPr>
                <w:szCs w:val="20"/>
              </w:rPr>
            </w:pPr>
            <w:r>
              <w:rPr>
                <w:szCs w:val="20"/>
              </w:rPr>
              <w:t xml:space="preserve">Analysis of germline and </w:t>
            </w:r>
            <w:proofErr w:type="gramStart"/>
            <w:r>
              <w:rPr>
                <w:szCs w:val="20"/>
              </w:rPr>
              <w:t xml:space="preserve">somatic </w:t>
            </w:r>
            <w:r w:rsidR="00AB3B9B">
              <w:rPr>
                <w:szCs w:val="20"/>
              </w:rPr>
              <w:t xml:space="preserve"> genetic</w:t>
            </w:r>
            <w:proofErr w:type="gramEnd"/>
            <w:r w:rsidR="00AB3B9B">
              <w:rPr>
                <w:szCs w:val="20"/>
              </w:rPr>
              <w:t xml:space="preserve"> alterations in 429 ovarian cancer cases and 557 controls.</w:t>
            </w:r>
            <w:r w:rsidR="00F561B5">
              <w:rPr>
                <w:szCs w:val="20"/>
              </w:rPr>
              <w:t xml:space="preserve"> Germline and tumour DNA were sequenced by exome capture followed by next generation sequencing on Illumina or </w:t>
            </w:r>
            <w:proofErr w:type="spellStart"/>
            <w:r w:rsidR="00F561B5">
              <w:rPr>
                <w:szCs w:val="20"/>
              </w:rPr>
              <w:t>SOLiD</w:t>
            </w:r>
            <w:proofErr w:type="spellEnd"/>
            <w:r w:rsidR="00F561B5">
              <w:rPr>
                <w:szCs w:val="20"/>
              </w:rPr>
              <w:t xml:space="preserve"> platforms.</w:t>
            </w:r>
          </w:p>
        </w:tc>
        <w:tc>
          <w:tcPr>
            <w:tcW w:w="1962" w:type="pct"/>
          </w:tcPr>
          <w:p w:rsidR="000F4064" w:rsidRDefault="005B57E8" w:rsidP="00496A6E">
            <w:pPr>
              <w:rPr>
                <w:szCs w:val="20"/>
              </w:rPr>
            </w:pPr>
            <w:hyperlink r:id="rId37" w:tooltip="Link to Nature Communications article" w:history="1">
              <w:r w:rsidR="004B1DF8" w:rsidRPr="00BF3560">
                <w:rPr>
                  <w:rStyle w:val="Hyperlink"/>
                  <w:szCs w:val="20"/>
                </w:rPr>
                <w:t>https://www.nature.com/articles/ncomms4156.pdf</w:t>
              </w:r>
            </w:hyperlink>
          </w:p>
          <w:p w:rsidR="004B1DF8" w:rsidRDefault="004B1DF8" w:rsidP="00496A6E">
            <w:pPr>
              <w:rPr>
                <w:szCs w:val="20"/>
              </w:rPr>
            </w:pPr>
            <w:proofErr w:type="spellStart"/>
            <w:r>
              <w:rPr>
                <w:szCs w:val="20"/>
              </w:rPr>
              <w:t>Kanchi</w:t>
            </w:r>
            <w:proofErr w:type="spellEnd"/>
            <w:r>
              <w:rPr>
                <w:szCs w:val="20"/>
              </w:rPr>
              <w:t xml:space="preserve"> KL, Johnson KJ, Lu C, McLennan MD, et.al.</w:t>
            </w:r>
          </w:p>
          <w:p w:rsidR="004B1DF8" w:rsidRDefault="004B1DF8" w:rsidP="00496A6E">
            <w:pPr>
              <w:rPr>
                <w:szCs w:val="20"/>
              </w:rPr>
            </w:pPr>
            <w:r>
              <w:rPr>
                <w:szCs w:val="20"/>
              </w:rPr>
              <w:t>Nature Communications, 2014, 5:3156</w:t>
            </w:r>
          </w:p>
        </w:tc>
        <w:tc>
          <w:tcPr>
            <w:tcW w:w="549" w:type="pct"/>
          </w:tcPr>
          <w:p w:rsidR="000F4064" w:rsidRPr="00063036" w:rsidRDefault="004B1DF8" w:rsidP="00DD308E">
            <w:pPr>
              <w:rPr>
                <w:szCs w:val="20"/>
              </w:rPr>
            </w:pPr>
            <w:r>
              <w:rPr>
                <w:szCs w:val="20"/>
              </w:rPr>
              <w:t>January 2014</w:t>
            </w:r>
          </w:p>
        </w:tc>
      </w:tr>
      <w:tr w:rsidR="00FF7C9D" w:rsidTr="00C72A0C">
        <w:trPr>
          <w:cantSplit/>
        </w:trPr>
        <w:tc>
          <w:tcPr>
            <w:tcW w:w="201" w:type="pct"/>
          </w:tcPr>
          <w:p w:rsidR="00FF7C9D" w:rsidRDefault="003A54F3" w:rsidP="00DD308E">
            <w:pPr>
              <w:rPr>
                <w:szCs w:val="20"/>
              </w:rPr>
            </w:pPr>
            <w:r>
              <w:rPr>
                <w:szCs w:val="20"/>
              </w:rPr>
              <w:t>24</w:t>
            </w:r>
          </w:p>
        </w:tc>
        <w:tc>
          <w:tcPr>
            <w:tcW w:w="655" w:type="pct"/>
          </w:tcPr>
          <w:p w:rsidR="00FF7C9D" w:rsidRPr="00063036" w:rsidRDefault="00EA63AF" w:rsidP="00DD308E">
            <w:pPr>
              <w:rPr>
                <w:szCs w:val="20"/>
              </w:rPr>
            </w:pPr>
            <w:r>
              <w:rPr>
                <w:szCs w:val="20"/>
              </w:rPr>
              <w:t>Diagnostic study</w:t>
            </w:r>
          </w:p>
        </w:tc>
        <w:tc>
          <w:tcPr>
            <w:tcW w:w="532" w:type="pct"/>
          </w:tcPr>
          <w:p w:rsidR="00FF7C9D" w:rsidRPr="00063036" w:rsidRDefault="00FF7C9D" w:rsidP="00E824E2">
            <w:pPr>
              <w:rPr>
                <w:szCs w:val="20"/>
              </w:rPr>
            </w:pPr>
          </w:p>
        </w:tc>
        <w:tc>
          <w:tcPr>
            <w:tcW w:w="1101" w:type="pct"/>
          </w:tcPr>
          <w:p w:rsidR="00FF7C9D" w:rsidRDefault="00373E40" w:rsidP="00206DCC">
            <w:pPr>
              <w:rPr>
                <w:szCs w:val="20"/>
              </w:rPr>
            </w:pPr>
            <w:r>
              <w:rPr>
                <w:szCs w:val="20"/>
              </w:rPr>
              <w:t>A study</w:t>
            </w:r>
            <w:r w:rsidR="009340E6">
              <w:rPr>
                <w:szCs w:val="20"/>
              </w:rPr>
              <w:t xml:space="preserve"> investigating temporal heterogeneity, in particular the stability of somatic mutations over time, in paired primary and recurrent ovarian carcinomas.  Neoplastic and germline DNA </w:t>
            </w:r>
            <w:r w:rsidR="00970F9B">
              <w:rPr>
                <w:szCs w:val="20"/>
              </w:rPr>
              <w:t xml:space="preserve">was extracted by targeted capture (BROCA panel) </w:t>
            </w:r>
            <w:r w:rsidR="009340E6">
              <w:rPr>
                <w:szCs w:val="20"/>
              </w:rPr>
              <w:t xml:space="preserve">from 23 paired </w:t>
            </w:r>
            <w:r w:rsidR="00970F9B">
              <w:rPr>
                <w:szCs w:val="20"/>
              </w:rPr>
              <w:t xml:space="preserve">samples </w:t>
            </w:r>
            <w:r w:rsidR="009340E6">
              <w:rPr>
                <w:szCs w:val="20"/>
              </w:rPr>
              <w:t>primary and recurrent ovarian, fallopian tube and peritoneal carcinomas</w:t>
            </w:r>
            <w:r w:rsidR="00970F9B">
              <w:rPr>
                <w:szCs w:val="20"/>
              </w:rPr>
              <w:t xml:space="preserve"> and mutations were detected using massively parallel genomic sequencing</w:t>
            </w:r>
            <w:r w:rsidR="00E45410">
              <w:rPr>
                <w:szCs w:val="20"/>
              </w:rPr>
              <w:t xml:space="preserve"> (</w:t>
            </w:r>
            <w:r w:rsidR="00A16A97">
              <w:rPr>
                <w:szCs w:val="20"/>
              </w:rPr>
              <w:t>next generation sequencing)</w:t>
            </w:r>
            <w:r w:rsidR="00970F9B">
              <w:rPr>
                <w:szCs w:val="20"/>
              </w:rPr>
              <w:t xml:space="preserve">. </w:t>
            </w:r>
            <w:r w:rsidR="009340E6">
              <w:rPr>
                <w:szCs w:val="20"/>
              </w:rPr>
              <w:t xml:space="preserve"> </w:t>
            </w:r>
            <w:r>
              <w:rPr>
                <w:szCs w:val="20"/>
              </w:rPr>
              <w:t xml:space="preserve"> </w:t>
            </w:r>
          </w:p>
        </w:tc>
        <w:tc>
          <w:tcPr>
            <w:tcW w:w="1962" w:type="pct"/>
          </w:tcPr>
          <w:p w:rsidR="00FF7C9D" w:rsidRDefault="005B57E8" w:rsidP="00496A6E">
            <w:pPr>
              <w:rPr>
                <w:szCs w:val="20"/>
              </w:rPr>
            </w:pPr>
            <w:hyperlink r:id="rId38" w:tooltip="Link to Gynecologic Oncology article" w:history="1">
              <w:r w:rsidR="00C152A6" w:rsidRPr="00BF3560">
                <w:rPr>
                  <w:rStyle w:val="Hyperlink"/>
                  <w:szCs w:val="20"/>
                </w:rPr>
                <w:t>https://ac.els-cdn.com/S0090825813009438/1-s2.0-S0090825813009438-main.pdf?_tid=8114155a-1146-11e8-aa19-00000aacb360&amp;acdnat=1518585695_8697136926bbdb45f1192c6efe89e843</w:t>
              </w:r>
            </w:hyperlink>
          </w:p>
          <w:p w:rsidR="00D26AC8" w:rsidRDefault="00C152A6" w:rsidP="00496A6E">
            <w:pPr>
              <w:rPr>
                <w:szCs w:val="20"/>
              </w:rPr>
            </w:pPr>
            <w:r>
              <w:rPr>
                <w:szCs w:val="20"/>
              </w:rPr>
              <w:t>Pennington K, Walsh T, Harrell M, Lee</w:t>
            </w:r>
            <w:r w:rsidR="00D26AC8">
              <w:rPr>
                <w:szCs w:val="20"/>
              </w:rPr>
              <w:t xml:space="preserve"> </w:t>
            </w:r>
            <w:r>
              <w:rPr>
                <w:szCs w:val="20"/>
              </w:rPr>
              <w:t>M</w:t>
            </w:r>
          </w:p>
          <w:p w:rsidR="00C152A6" w:rsidRDefault="00D26AC8" w:rsidP="00496A6E">
            <w:pPr>
              <w:rPr>
                <w:szCs w:val="20"/>
              </w:rPr>
            </w:pPr>
            <w:proofErr w:type="spellStart"/>
            <w:r>
              <w:rPr>
                <w:szCs w:val="20"/>
              </w:rPr>
              <w:t>Gynecologic</w:t>
            </w:r>
            <w:proofErr w:type="spellEnd"/>
            <w:r>
              <w:rPr>
                <w:szCs w:val="20"/>
              </w:rPr>
              <w:t xml:space="preserve"> Oncology, 2013, 131(1):258.</w:t>
            </w:r>
          </w:p>
        </w:tc>
        <w:tc>
          <w:tcPr>
            <w:tcW w:w="549" w:type="pct"/>
          </w:tcPr>
          <w:p w:rsidR="00FF7C9D" w:rsidRPr="00063036" w:rsidRDefault="007C4730" w:rsidP="00DD308E">
            <w:pPr>
              <w:rPr>
                <w:szCs w:val="20"/>
              </w:rPr>
            </w:pPr>
            <w:r>
              <w:rPr>
                <w:szCs w:val="20"/>
              </w:rPr>
              <w:t>October 2013</w:t>
            </w:r>
          </w:p>
        </w:tc>
      </w:tr>
      <w:tr w:rsidR="00120DAC" w:rsidTr="00C72A0C">
        <w:trPr>
          <w:cantSplit/>
        </w:trPr>
        <w:tc>
          <w:tcPr>
            <w:tcW w:w="201" w:type="pct"/>
          </w:tcPr>
          <w:p w:rsidR="00120DAC" w:rsidRDefault="003A54F3" w:rsidP="00DD308E">
            <w:pPr>
              <w:rPr>
                <w:szCs w:val="20"/>
              </w:rPr>
            </w:pPr>
            <w:r>
              <w:rPr>
                <w:szCs w:val="20"/>
              </w:rPr>
              <w:lastRenderedPageBreak/>
              <w:t>25</w:t>
            </w:r>
          </w:p>
        </w:tc>
        <w:tc>
          <w:tcPr>
            <w:tcW w:w="655" w:type="pct"/>
          </w:tcPr>
          <w:p w:rsidR="00120DAC" w:rsidRPr="00063036" w:rsidRDefault="009B1E08" w:rsidP="00DD308E">
            <w:pPr>
              <w:rPr>
                <w:szCs w:val="20"/>
              </w:rPr>
            </w:pPr>
            <w:r>
              <w:rPr>
                <w:szCs w:val="20"/>
              </w:rPr>
              <w:t>Diagnostic study</w:t>
            </w:r>
          </w:p>
        </w:tc>
        <w:tc>
          <w:tcPr>
            <w:tcW w:w="532" w:type="pct"/>
          </w:tcPr>
          <w:p w:rsidR="00120DAC" w:rsidRPr="00063036" w:rsidRDefault="00120DAC" w:rsidP="00E824E2">
            <w:pPr>
              <w:rPr>
                <w:szCs w:val="20"/>
              </w:rPr>
            </w:pPr>
          </w:p>
        </w:tc>
        <w:tc>
          <w:tcPr>
            <w:tcW w:w="1101" w:type="pct"/>
          </w:tcPr>
          <w:p w:rsidR="00120DAC" w:rsidRDefault="00931D43" w:rsidP="00206DCC">
            <w:pPr>
              <w:rPr>
                <w:szCs w:val="20"/>
              </w:rPr>
            </w:pPr>
            <w:r>
              <w:rPr>
                <w:szCs w:val="20"/>
              </w:rPr>
              <w:t>Massively parallel DNA sequencing was used to characterise base substitutions, short insertions and deletions (</w:t>
            </w:r>
            <w:proofErr w:type="spellStart"/>
            <w:r>
              <w:rPr>
                <w:szCs w:val="20"/>
              </w:rPr>
              <w:t>indels</w:t>
            </w:r>
            <w:proofErr w:type="spellEnd"/>
            <w:r>
              <w:rPr>
                <w:szCs w:val="20"/>
              </w:rPr>
              <w:t>) copy number alterations and selected fusions across 287 cancer-related genes from routine FFPE clinical specimens</w:t>
            </w:r>
            <w:r w:rsidR="00B8683D">
              <w:rPr>
                <w:szCs w:val="20"/>
              </w:rPr>
              <w:t xml:space="preserve"> (5% ovarian cancer).  DNA was extracted from FFPE specimens and then after whole genome library construction </w:t>
            </w:r>
            <w:r w:rsidR="009B1E08">
              <w:rPr>
                <w:szCs w:val="20"/>
              </w:rPr>
              <w:t>there was</w:t>
            </w:r>
            <w:r w:rsidR="00B8683D">
              <w:rPr>
                <w:szCs w:val="20"/>
              </w:rPr>
              <w:t xml:space="preserve"> hybridisation-based capture of </w:t>
            </w:r>
            <w:r w:rsidR="009B1E08">
              <w:rPr>
                <w:szCs w:val="20"/>
              </w:rPr>
              <w:t xml:space="preserve">4557 exons from 287 cancer related genes (including BRCA1/2). The hybrid-capture-selected libraries were sequenced to high uniform depth using the Illumina </w:t>
            </w:r>
            <w:proofErr w:type="spellStart"/>
            <w:r w:rsidR="009B1E08">
              <w:rPr>
                <w:szCs w:val="20"/>
              </w:rPr>
              <w:t>MiSeq</w:t>
            </w:r>
            <w:proofErr w:type="spellEnd"/>
            <w:r w:rsidR="009B1E08">
              <w:rPr>
                <w:szCs w:val="20"/>
              </w:rPr>
              <w:t xml:space="preserve"> platform.</w:t>
            </w:r>
          </w:p>
        </w:tc>
        <w:tc>
          <w:tcPr>
            <w:tcW w:w="1962" w:type="pct"/>
          </w:tcPr>
          <w:p w:rsidR="00627B54" w:rsidRDefault="005B57E8" w:rsidP="00496A6E">
            <w:pPr>
              <w:rPr>
                <w:szCs w:val="20"/>
              </w:rPr>
            </w:pPr>
            <w:hyperlink r:id="rId39" w:tooltip="Link to Nature Biotechnology article" w:history="1">
              <w:r w:rsidR="00267342" w:rsidRPr="009E7ACC">
                <w:rPr>
                  <w:rStyle w:val="Hyperlink"/>
                  <w:szCs w:val="20"/>
                </w:rPr>
                <w:t>https://www.nature.com/articles/nbt.2696</w:t>
              </w:r>
            </w:hyperlink>
          </w:p>
          <w:p w:rsidR="00267342" w:rsidRDefault="00931D43" w:rsidP="00496A6E">
            <w:pPr>
              <w:rPr>
                <w:szCs w:val="20"/>
              </w:rPr>
            </w:pPr>
            <w:r>
              <w:rPr>
                <w:szCs w:val="20"/>
              </w:rPr>
              <w:t xml:space="preserve">Frampton GM, </w:t>
            </w:r>
            <w:proofErr w:type="spellStart"/>
            <w:r>
              <w:rPr>
                <w:szCs w:val="20"/>
              </w:rPr>
              <w:t>Fichtenholtz</w:t>
            </w:r>
            <w:proofErr w:type="spellEnd"/>
            <w:r>
              <w:rPr>
                <w:szCs w:val="20"/>
              </w:rPr>
              <w:t xml:space="preserve"> A, Otto GA, Wang K, et.al.</w:t>
            </w:r>
          </w:p>
          <w:p w:rsidR="00931D43" w:rsidRDefault="00931D43" w:rsidP="00496A6E">
            <w:pPr>
              <w:rPr>
                <w:szCs w:val="20"/>
              </w:rPr>
            </w:pPr>
            <w:r w:rsidRPr="00931D43">
              <w:rPr>
                <w:i/>
                <w:szCs w:val="20"/>
              </w:rPr>
              <w:t>Nature Biotechnology</w:t>
            </w:r>
            <w:r>
              <w:rPr>
                <w:szCs w:val="20"/>
              </w:rPr>
              <w:t xml:space="preserve">, 2013, </w:t>
            </w:r>
            <w:r w:rsidRPr="00931D43">
              <w:rPr>
                <w:b/>
                <w:szCs w:val="20"/>
              </w:rPr>
              <w:t>31</w:t>
            </w:r>
            <w:r>
              <w:rPr>
                <w:szCs w:val="20"/>
              </w:rPr>
              <w:t>(11):1023</w:t>
            </w:r>
          </w:p>
        </w:tc>
        <w:tc>
          <w:tcPr>
            <w:tcW w:w="549" w:type="pct"/>
          </w:tcPr>
          <w:p w:rsidR="00120DAC" w:rsidRPr="00063036" w:rsidRDefault="00931D43" w:rsidP="00DD308E">
            <w:pPr>
              <w:rPr>
                <w:szCs w:val="20"/>
              </w:rPr>
            </w:pPr>
            <w:r>
              <w:rPr>
                <w:szCs w:val="20"/>
              </w:rPr>
              <w:t>November 2013</w:t>
            </w:r>
          </w:p>
        </w:tc>
      </w:tr>
      <w:tr w:rsidR="00120DAC" w:rsidTr="00C72A0C">
        <w:trPr>
          <w:cantSplit/>
        </w:trPr>
        <w:tc>
          <w:tcPr>
            <w:tcW w:w="201" w:type="pct"/>
          </w:tcPr>
          <w:p w:rsidR="00120DAC" w:rsidRDefault="003A54F3" w:rsidP="00DD308E">
            <w:pPr>
              <w:rPr>
                <w:szCs w:val="20"/>
              </w:rPr>
            </w:pPr>
            <w:r>
              <w:rPr>
                <w:szCs w:val="20"/>
              </w:rPr>
              <w:lastRenderedPageBreak/>
              <w:t>26</w:t>
            </w:r>
          </w:p>
        </w:tc>
        <w:tc>
          <w:tcPr>
            <w:tcW w:w="655" w:type="pct"/>
          </w:tcPr>
          <w:p w:rsidR="00120DAC" w:rsidRPr="00063036" w:rsidRDefault="00B92CA0" w:rsidP="00DD308E">
            <w:pPr>
              <w:rPr>
                <w:szCs w:val="20"/>
              </w:rPr>
            </w:pPr>
            <w:r>
              <w:rPr>
                <w:szCs w:val="20"/>
              </w:rPr>
              <w:t>Diagnostic study</w:t>
            </w:r>
          </w:p>
        </w:tc>
        <w:tc>
          <w:tcPr>
            <w:tcW w:w="532" w:type="pct"/>
          </w:tcPr>
          <w:p w:rsidR="00120DAC" w:rsidRPr="00063036" w:rsidRDefault="00120DAC" w:rsidP="00E824E2">
            <w:pPr>
              <w:rPr>
                <w:szCs w:val="20"/>
              </w:rPr>
            </w:pPr>
          </w:p>
        </w:tc>
        <w:tc>
          <w:tcPr>
            <w:tcW w:w="1101" w:type="pct"/>
          </w:tcPr>
          <w:p w:rsidR="00120DAC" w:rsidRDefault="00B92CA0" w:rsidP="00206DCC">
            <w:pPr>
              <w:rPr>
                <w:szCs w:val="20"/>
              </w:rPr>
            </w:pPr>
            <w:r>
              <w:rPr>
                <w:szCs w:val="20"/>
              </w:rPr>
              <w:t xml:space="preserve">263 patients </w:t>
            </w:r>
            <w:r w:rsidR="00305DBC">
              <w:rPr>
                <w:szCs w:val="20"/>
              </w:rPr>
              <w:t xml:space="preserve">with previously untreated high grade ovarian cancer </w:t>
            </w:r>
            <w:r>
              <w:rPr>
                <w:szCs w:val="20"/>
              </w:rPr>
              <w:t xml:space="preserve">were offered germline and somatic </w:t>
            </w:r>
            <w:r w:rsidR="00305DBC">
              <w:rPr>
                <w:szCs w:val="20"/>
              </w:rPr>
              <w:t>BRCA1/2 mutation screening. Germline mutation screening was performed on DNA from blood via custom amplicon assay and next generation sequencing. DNA from FFPE tumour samples was sequenced using custom hybridisation enrichment and next generation sequencing. 100% concordance was demonstrated between the blood and tumour based NGS assays.</w:t>
            </w:r>
          </w:p>
        </w:tc>
        <w:tc>
          <w:tcPr>
            <w:tcW w:w="1962" w:type="pct"/>
          </w:tcPr>
          <w:p w:rsidR="00120DAC" w:rsidRDefault="005B57E8" w:rsidP="00496A6E">
            <w:pPr>
              <w:rPr>
                <w:szCs w:val="20"/>
              </w:rPr>
            </w:pPr>
            <w:hyperlink r:id="rId40" w:tooltip="Link to Annals of Oncology article" w:history="1">
              <w:r w:rsidR="00154871" w:rsidRPr="009E7ACC">
                <w:rPr>
                  <w:rStyle w:val="Hyperlink"/>
                  <w:szCs w:val="20"/>
                </w:rPr>
                <w:t>https://academic.oup.com/annonc/article/25/suppl_4/iv308/2241599</w:t>
              </w:r>
            </w:hyperlink>
          </w:p>
          <w:p w:rsidR="00154871" w:rsidRDefault="00154871" w:rsidP="00496A6E">
            <w:pPr>
              <w:rPr>
                <w:szCs w:val="20"/>
              </w:rPr>
            </w:pPr>
            <w:r>
              <w:rPr>
                <w:szCs w:val="20"/>
              </w:rPr>
              <w:t>Yates</w:t>
            </w:r>
            <w:r w:rsidR="005E4F06">
              <w:rPr>
                <w:szCs w:val="20"/>
              </w:rPr>
              <w:t xml:space="preserve"> M, </w:t>
            </w:r>
            <w:proofErr w:type="spellStart"/>
            <w:r w:rsidR="005E4F06">
              <w:rPr>
                <w:szCs w:val="20"/>
              </w:rPr>
              <w:t>Timms</w:t>
            </w:r>
            <w:proofErr w:type="spellEnd"/>
            <w:r w:rsidR="005E4F06">
              <w:rPr>
                <w:szCs w:val="20"/>
              </w:rPr>
              <w:t xml:space="preserve"> K, Daniels</w:t>
            </w:r>
            <w:r w:rsidR="00B92CA0">
              <w:rPr>
                <w:szCs w:val="20"/>
              </w:rPr>
              <w:t xml:space="preserve"> M, </w:t>
            </w:r>
            <w:proofErr w:type="spellStart"/>
            <w:r w:rsidR="00B92CA0">
              <w:rPr>
                <w:szCs w:val="20"/>
              </w:rPr>
              <w:t>Batte</w:t>
            </w:r>
            <w:proofErr w:type="spellEnd"/>
            <w:r w:rsidR="00B92CA0">
              <w:rPr>
                <w:szCs w:val="20"/>
              </w:rPr>
              <w:t xml:space="preserve"> B, et.al.</w:t>
            </w:r>
          </w:p>
          <w:p w:rsidR="00B92CA0" w:rsidRDefault="00B92CA0" w:rsidP="00496A6E">
            <w:pPr>
              <w:rPr>
                <w:szCs w:val="20"/>
              </w:rPr>
            </w:pPr>
            <w:r w:rsidRPr="00B92CA0">
              <w:rPr>
                <w:i/>
                <w:szCs w:val="20"/>
              </w:rPr>
              <w:t>Annals of Oncology</w:t>
            </w:r>
            <w:r>
              <w:rPr>
                <w:szCs w:val="20"/>
              </w:rPr>
              <w:t>, 2014, 25(Supplement 4):iv305-iv326.</w:t>
            </w:r>
          </w:p>
        </w:tc>
        <w:tc>
          <w:tcPr>
            <w:tcW w:w="549" w:type="pct"/>
          </w:tcPr>
          <w:p w:rsidR="00120DAC" w:rsidRPr="00063036" w:rsidRDefault="00B92CA0" w:rsidP="00DD308E">
            <w:pPr>
              <w:rPr>
                <w:szCs w:val="20"/>
              </w:rPr>
            </w:pPr>
            <w:r>
              <w:rPr>
                <w:szCs w:val="20"/>
              </w:rPr>
              <w:t>March 2014</w:t>
            </w:r>
          </w:p>
        </w:tc>
      </w:tr>
      <w:tr w:rsidR="006145A9" w:rsidTr="00C72A0C">
        <w:trPr>
          <w:cantSplit/>
        </w:trPr>
        <w:tc>
          <w:tcPr>
            <w:tcW w:w="201" w:type="pct"/>
          </w:tcPr>
          <w:p w:rsidR="006145A9" w:rsidRDefault="003A54F3" w:rsidP="00DD308E">
            <w:pPr>
              <w:rPr>
                <w:szCs w:val="20"/>
              </w:rPr>
            </w:pPr>
            <w:r>
              <w:rPr>
                <w:szCs w:val="20"/>
              </w:rPr>
              <w:lastRenderedPageBreak/>
              <w:t>27</w:t>
            </w:r>
          </w:p>
        </w:tc>
        <w:tc>
          <w:tcPr>
            <w:tcW w:w="655" w:type="pct"/>
          </w:tcPr>
          <w:p w:rsidR="006145A9" w:rsidRDefault="00F71E65" w:rsidP="00DD308E">
            <w:pPr>
              <w:rPr>
                <w:szCs w:val="20"/>
              </w:rPr>
            </w:pPr>
            <w:r>
              <w:rPr>
                <w:szCs w:val="20"/>
              </w:rPr>
              <w:t>Diagnostic and clinical outcome study</w:t>
            </w:r>
          </w:p>
        </w:tc>
        <w:tc>
          <w:tcPr>
            <w:tcW w:w="532" w:type="pct"/>
          </w:tcPr>
          <w:p w:rsidR="006145A9" w:rsidRPr="00063036" w:rsidRDefault="006145A9" w:rsidP="00E824E2">
            <w:pPr>
              <w:rPr>
                <w:szCs w:val="20"/>
              </w:rPr>
            </w:pPr>
          </w:p>
        </w:tc>
        <w:tc>
          <w:tcPr>
            <w:tcW w:w="1101" w:type="pct"/>
          </w:tcPr>
          <w:p w:rsidR="006145A9" w:rsidRDefault="00F71E65" w:rsidP="00206DCC">
            <w:pPr>
              <w:rPr>
                <w:szCs w:val="20"/>
              </w:rPr>
            </w:pPr>
            <w:r>
              <w:rPr>
                <w:szCs w:val="20"/>
              </w:rPr>
              <w:t xml:space="preserve">BRCA1/2 was sequenced in 235 unselected ovarian cancer specimens. Frozen tumour tissue had DNA extracted using a </w:t>
            </w:r>
            <w:proofErr w:type="spellStart"/>
            <w:r>
              <w:rPr>
                <w:szCs w:val="20"/>
              </w:rPr>
              <w:t>Qiagen</w:t>
            </w:r>
            <w:proofErr w:type="spellEnd"/>
            <w:r>
              <w:rPr>
                <w:szCs w:val="20"/>
              </w:rPr>
              <w:t xml:space="preserve"> DNA kit</w:t>
            </w:r>
            <w:r w:rsidR="0003062F">
              <w:rPr>
                <w:szCs w:val="20"/>
              </w:rPr>
              <w:t xml:space="preserve"> followed by amplification with quantitative polymerase chain reaction (Applied Biosystems </w:t>
            </w:r>
            <w:proofErr w:type="spellStart"/>
            <w:r w:rsidR="0003062F">
              <w:rPr>
                <w:szCs w:val="20"/>
              </w:rPr>
              <w:t>TaqMan</w:t>
            </w:r>
            <w:proofErr w:type="spellEnd"/>
            <w:r w:rsidR="0003062F">
              <w:rPr>
                <w:szCs w:val="20"/>
              </w:rPr>
              <w:t xml:space="preserve">). </w:t>
            </w:r>
            <w:r w:rsidR="00B8056D">
              <w:rPr>
                <w:szCs w:val="20"/>
              </w:rPr>
              <w:t xml:space="preserve">Primers for BRCA1/2 (Myriad Genetics </w:t>
            </w:r>
            <w:proofErr w:type="spellStart"/>
            <w:r w:rsidR="00B8056D">
              <w:rPr>
                <w:szCs w:val="20"/>
              </w:rPr>
              <w:t>BRCAnalysis</w:t>
            </w:r>
            <w:proofErr w:type="spellEnd"/>
            <w:r w:rsidR="00B8056D">
              <w:rPr>
                <w:szCs w:val="20"/>
              </w:rPr>
              <w:t xml:space="preserve">) were used. </w:t>
            </w:r>
            <w:r w:rsidR="0003062F">
              <w:rPr>
                <w:szCs w:val="20"/>
              </w:rPr>
              <w:t xml:space="preserve">Sequence products were run on </w:t>
            </w:r>
            <w:proofErr w:type="gramStart"/>
            <w:r w:rsidR="0003062F">
              <w:rPr>
                <w:szCs w:val="20"/>
              </w:rPr>
              <w:t>an</w:t>
            </w:r>
            <w:proofErr w:type="gramEnd"/>
            <w:r w:rsidR="0003062F">
              <w:rPr>
                <w:szCs w:val="20"/>
              </w:rPr>
              <w:t xml:space="preserve"> Megabace4500 automated sequencer</w:t>
            </w:r>
            <w:r w:rsidR="00B8056D">
              <w:rPr>
                <w:szCs w:val="20"/>
              </w:rPr>
              <w:t>.</w:t>
            </w:r>
            <w:r w:rsidR="008078F4">
              <w:rPr>
                <w:szCs w:val="20"/>
              </w:rPr>
              <w:t xml:space="preserve"> Progression free survival (PFS) was determined for patients found to have a BRCA1/2 mutation, compared to those without mutation.</w:t>
            </w:r>
          </w:p>
        </w:tc>
        <w:tc>
          <w:tcPr>
            <w:tcW w:w="1962" w:type="pct"/>
          </w:tcPr>
          <w:p w:rsidR="008078F4" w:rsidRDefault="005B57E8" w:rsidP="00496A6E">
            <w:hyperlink r:id="rId41" w:tooltip="Link to Journal of Clinical Oncology article" w:history="1">
              <w:r w:rsidR="00A90C40" w:rsidRPr="006A33F2">
                <w:rPr>
                  <w:rStyle w:val="Hyperlink"/>
                </w:rPr>
                <w:t>http://ascopubs.org/doi/full/10.1200/JCO.2009.27.2997</w:t>
              </w:r>
            </w:hyperlink>
          </w:p>
          <w:p w:rsidR="006145A9" w:rsidRDefault="00614A4B" w:rsidP="00496A6E">
            <w:r>
              <w:t>Hen</w:t>
            </w:r>
            <w:r w:rsidR="00F71E65">
              <w:t>n</w:t>
            </w:r>
            <w:r>
              <w:t xml:space="preserve">essey BTJ, </w:t>
            </w:r>
            <w:proofErr w:type="spellStart"/>
            <w:r>
              <w:t>Timms</w:t>
            </w:r>
            <w:proofErr w:type="spellEnd"/>
            <w:r>
              <w:t xml:space="preserve"> KM, Carey MS, </w:t>
            </w:r>
            <w:proofErr w:type="spellStart"/>
            <w:r>
              <w:t>Gutin</w:t>
            </w:r>
            <w:proofErr w:type="spellEnd"/>
            <w:r>
              <w:t xml:space="preserve"> A, et.al</w:t>
            </w:r>
          </w:p>
          <w:p w:rsidR="00614A4B" w:rsidRDefault="00614A4B" w:rsidP="00496A6E">
            <w:r w:rsidRPr="00B8056D">
              <w:rPr>
                <w:i/>
              </w:rPr>
              <w:t>Journal of Clinical Oncology</w:t>
            </w:r>
            <w:r>
              <w:t xml:space="preserve">, 2010, </w:t>
            </w:r>
            <w:r w:rsidR="008078F4" w:rsidRPr="008078F4">
              <w:rPr>
                <w:b/>
              </w:rPr>
              <w:t>28</w:t>
            </w:r>
            <w:r w:rsidR="008078F4">
              <w:t>:3570-3576.</w:t>
            </w:r>
          </w:p>
        </w:tc>
        <w:tc>
          <w:tcPr>
            <w:tcW w:w="549" w:type="pct"/>
          </w:tcPr>
          <w:p w:rsidR="006145A9" w:rsidRDefault="008078F4" w:rsidP="00DD308E">
            <w:pPr>
              <w:rPr>
                <w:szCs w:val="20"/>
              </w:rPr>
            </w:pPr>
            <w:r>
              <w:rPr>
                <w:szCs w:val="20"/>
              </w:rPr>
              <w:t>July 2010</w:t>
            </w:r>
          </w:p>
        </w:tc>
      </w:tr>
      <w:tr w:rsidR="006145A9" w:rsidTr="00C72A0C">
        <w:trPr>
          <w:cantSplit/>
        </w:trPr>
        <w:tc>
          <w:tcPr>
            <w:tcW w:w="201" w:type="pct"/>
          </w:tcPr>
          <w:p w:rsidR="006145A9" w:rsidRDefault="003A54F3" w:rsidP="00DD308E">
            <w:pPr>
              <w:rPr>
                <w:szCs w:val="20"/>
              </w:rPr>
            </w:pPr>
            <w:r>
              <w:rPr>
                <w:szCs w:val="20"/>
              </w:rPr>
              <w:lastRenderedPageBreak/>
              <w:t>28</w:t>
            </w:r>
          </w:p>
        </w:tc>
        <w:tc>
          <w:tcPr>
            <w:tcW w:w="655" w:type="pct"/>
          </w:tcPr>
          <w:p w:rsidR="006145A9" w:rsidRDefault="003A2D1D" w:rsidP="00DD308E">
            <w:pPr>
              <w:rPr>
                <w:szCs w:val="20"/>
              </w:rPr>
            </w:pPr>
            <w:r>
              <w:rPr>
                <w:szCs w:val="20"/>
              </w:rPr>
              <w:t>Phase III randomised, double blind, placebo controlled trial with diagnostic testing and subgroup analyses</w:t>
            </w:r>
          </w:p>
        </w:tc>
        <w:tc>
          <w:tcPr>
            <w:tcW w:w="532" w:type="pct"/>
          </w:tcPr>
          <w:p w:rsidR="006145A9" w:rsidRPr="00063036" w:rsidRDefault="00EE37BB" w:rsidP="00E824E2">
            <w:pPr>
              <w:rPr>
                <w:szCs w:val="20"/>
              </w:rPr>
            </w:pPr>
            <w:r>
              <w:rPr>
                <w:szCs w:val="20"/>
              </w:rPr>
              <w:t>ARIEL 3</w:t>
            </w:r>
          </w:p>
        </w:tc>
        <w:tc>
          <w:tcPr>
            <w:tcW w:w="1101" w:type="pct"/>
          </w:tcPr>
          <w:p w:rsidR="006145A9" w:rsidRDefault="003A2D1D" w:rsidP="00206DCC">
            <w:pPr>
              <w:rPr>
                <w:szCs w:val="20"/>
              </w:rPr>
            </w:pPr>
            <w:r>
              <w:rPr>
                <w:szCs w:val="20"/>
              </w:rPr>
              <w:t xml:space="preserve">Patients with platinum sensitive, high grade serous or </w:t>
            </w:r>
            <w:proofErr w:type="spellStart"/>
            <w:r>
              <w:rPr>
                <w:szCs w:val="20"/>
              </w:rPr>
              <w:t>endometrioid</w:t>
            </w:r>
            <w:proofErr w:type="spellEnd"/>
            <w:r>
              <w:rPr>
                <w:szCs w:val="20"/>
              </w:rPr>
              <w:t xml:space="preserve"> ovarian, primary peritoneal or fallopian tube carcinoma were randomised t</w:t>
            </w:r>
            <w:r w:rsidR="00547276">
              <w:rPr>
                <w:szCs w:val="20"/>
              </w:rPr>
              <w:t xml:space="preserve">o the PARP inhibitor </w:t>
            </w:r>
            <w:proofErr w:type="spellStart"/>
            <w:r w:rsidR="00547276">
              <w:rPr>
                <w:szCs w:val="20"/>
              </w:rPr>
              <w:t>rucaparib</w:t>
            </w:r>
            <w:proofErr w:type="spellEnd"/>
            <w:r w:rsidR="00547276">
              <w:rPr>
                <w:szCs w:val="20"/>
              </w:rPr>
              <w:t xml:space="preserve"> (n=375) or placebo (n=189).  Central testing of DNA derived from patient archival tissue samples was </w:t>
            </w:r>
            <w:r w:rsidR="005C760C">
              <w:rPr>
                <w:szCs w:val="20"/>
              </w:rPr>
              <w:t xml:space="preserve">conducted using Foundation Medicine T5 NGS assay.  Germline mutations were identified with </w:t>
            </w:r>
            <w:proofErr w:type="spellStart"/>
            <w:r w:rsidR="005C760C">
              <w:rPr>
                <w:szCs w:val="20"/>
              </w:rPr>
              <w:t>BRCAnalysis</w:t>
            </w:r>
            <w:proofErr w:type="spellEnd"/>
            <w:r w:rsidR="005C760C">
              <w:rPr>
                <w:szCs w:val="20"/>
              </w:rPr>
              <w:t xml:space="preserve"> </w:t>
            </w:r>
            <w:proofErr w:type="spellStart"/>
            <w:r w:rsidR="005C760C">
              <w:rPr>
                <w:szCs w:val="20"/>
              </w:rPr>
              <w:t>CDx</w:t>
            </w:r>
            <w:proofErr w:type="spellEnd"/>
            <w:r w:rsidR="005C760C">
              <w:rPr>
                <w:szCs w:val="20"/>
              </w:rPr>
              <w:t xml:space="preserve"> test (Myriad </w:t>
            </w:r>
            <w:r w:rsidR="00AA1565">
              <w:rPr>
                <w:szCs w:val="20"/>
              </w:rPr>
              <w:t>Genetics</w:t>
            </w:r>
            <w:r w:rsidR="005C760C">
              <w:rPr>
                <w:szCs w:val="20"/>
              </w:rPr>
              <w:t>)</w:t>
            </w:r>
            <w:r w:rsidR="00AA1565">
              <w:rPr>
                <w:szCs w:val="20"/>
              </w:rPr>
              <w:t xml:space="preserve">. </w:t>
            </w:r>
            <w:proofErr w:type="gramStart"/>
            <w:r w:rsidR="00AA1565">
              <w:rPr>
                <w:szCs w:val="20"/>
              </w:rPr>
              <w:t>A pre-specified cohort of BRCA mutant patients were</w:t>
            </w:r>
            <w:proofErr w:type="gramEnd"/>
            <w:r w:rsidR="00AA1565">
              <w:rPr>
                <w:szCs w:val="20"/>
              </w:rPr>
              <w:t xml:space="preserve"> included in the study.  Clinical outcomes included progression-free survival in subgroups by BRCA</w:t>
            </w:r>
            <w:r w:rsidR="002061AB">
              <w:rPr>
                <w:szCs w:val="20"/>
              </w:rPr>
              <w:t xml:space="preserve"> mutation status (BRCA1, BRCA2, germline, somatic).</w:t>
            </w:r>
            <w:r>
              <w:rPr>
                <w:szCs w:val="20"/>
              </w:rPr>
              <w:t xml:space="preserve"> </w:t>
            </w:r>
          </w:p>
        </w:tc>
        <w:tc>
          <w:tcPr>
            <w:tcW w:w="1962" w:type="pct"/>
          </w:tcPr>
          <w:p w:rsidR="006145A9" w:rsidRDefault="005B57E8" w:rsidP="00496A6E">
            <w:hyperlink r:id="rId42" w:tooltip="Link to Lancet article" w:history="1">
              <w:r w:rsidR="00782207" w:rsidRPr="006A33F2">
                <w:rPr>
                  <w:rStyle w:val="Hyperlink"/>
                </w:rPr>
                <w:t>https://www.sciencedirect.com/science/article/pii/S0140673617324406</w:t>
              </w:r>
            </w:hyperlink>
          </w:p>
          <w:p w:rsidR="00782207" w:rsidRDefault="00782207" w:rsidP="00496A6E"/>
          <w:p w:rsidR="002061AB" w:rsidRDefault="002061AB" w:rsidP="00496A6E">
            <w:r>
              <w:t xml:space="preserve">Coleman RL, </w:t>
            </w:r>
            <w:proofErr w:type="spellStart"/>
            <w:r>
              <w:t>Oza</w:t>
            </w:r>
            <w:proofErr w:type="spellEnd"/>
            <w:r>
              <w:t xml:space="preserve"> AM, </w:t>
            </w:r>
            <w:proofErr w:type="spellStart"/>
            <w:r>
              <w:t>Lorusso</w:t>
            </w:r>
            <w:proofErr w:type="spellEnd"/>
            <w:r>
              <w:t xml:space="preserve"> D, </w:t>
            </w:r>
            <w:proofErr w:type="spellStart"/>
            <w:r>
              <w:t>Aghajanian</w:t>
            </w:r>
            <w:proofErr w:type="spellEnd"/>
            <w:r>
              <w:t xml:space="preserve"> C, et.al.</w:t>
            </w:r>
          </w:p>
          <w:p w:rsidR="002061AB" w:rsidRDefault="002061AB" w:rsidP="00496A6E">
            <w:r w:rsidRPr="002061AB">
              <w:rPr>
                <w:i/>
              </w:rPr>
              <w:t>Lancet</w:t>
            </w:r>
            <w:r>
              <w:t>, 2017, 390:1949-61.</w:t>
            </w:r>
          </w:p>
        </w:tc>
        <w:tc>
          <w:tcPr>
            <w:tcW w:w="549" w:type="pct"/>
          </w:tcPr>
          <w:p w:rsidR="006145A9" w:rsidRDefault="002061AB" w:rsidP="00DD308E">
            <w:pPr>
              <w:rPr>
                <w:szCs w:val="20"/>
              </w:rPr>
            </w:pPr>
            <w:r>
              <w:rPr>
                <w:szCs w:val="20"/>
              </w:rPr>
              <w:t>September 2017</w:t>
            </w:r>
          </w:p>
        </w:tc>
      </w:tr>
      <w:tr w:rsidR="006145A9" w:rsidTr="00C72A0C">
        <w:trPr>
          <w:cantSplit/>
        </w:trPr>
        <w:tc>
          <w:tcPr>
            <w:tcW w:w="201" w:type="pct"/>
          </w:tcPr>
          <w:p w:rsidR="006145A9" w:rsidRDefault="003A54F3" w:rsidP="00DD308E">
            <w:pPr>
              <w:rPr>
                <w:szCs w:val="20"/>
              </w:rPr>
            </w:pPr>
            <w:r>
              <w:rPr>
                <w:szCs w:val="20"/>
              </w:rPr>
              <w:lastRenderedPageBreak/>
              <w:t>29</w:t>
            </w:r>
          </w:p>
        </w:tc>
        <w:tc>
          <w:tcPr>
            <w:tcW w:w="655" w:type="pct"/>
          </w:tcPr>
          <w:p w:rsidR="006145A9" w:rsidRDefault="00782207" w:rsidP="00DD308E">
            <w:pPr>
              <w:rPr>
                <w:szCs w:val="20"/>
              </w:rPr>
            </w:pPr>
            <w:r>
              <w:rPr>
                <w:szCs w:val="20"/>
              </w:rPr>
              <w:t>Phase II open-label single arm trial with diagnostic testing and subgroup analyses</w:t>
            </w:r>
          </w:p>
        </w:tc>
        <w:tc>
          <w:tcPr>
            <w:tcW w:w="532" w:type="pct"/>
          </w:tcPr>
          <w:p w:rsidR="006145A9" w:rsidRPr="00063036" w:rsidRDefault="00782207" w:rsidP="00E824E2">
            <w:pPr>
              <w:rPr>
                <w:szCs w:val="20"/>
              </w:rPr>
            </w:pPr>
            <w:r>
              <w:rPr>
                <w:szCs w:val="20"/>
              </w:rPr>
              <w:t>ARIEL 2</w:t>
            </w:r>
          </w:p>
        </w:tc>
        <w:tc>
          <w:tcPr>
            <w:tcW w:w="1101" w:type="pct"/>
          </w:tcPr>
          <w:p w:rsidR="006145A9" w:rsidRDefault="00782207" w:rsidP="00206DCC">
            <w:pPr>
              <w:rPr>
                <w:szCs w:val="20"/>
              </w:rPr>
            </w:pPr>
            <w:r>
              <w:rPr>
                <w:szCs w:val="20"/>
              </w:rPr>
              <w:t>Patients with platinum sensitive, high grade ovaria</w:t>
            </w:r>
            <w:r w:rsidR="00AD284B">
              <w:rPr>
                <w:szCs w:val="20"/>
              </w:rPr>
              <w:t xml:space="preserve">n </w:t>
            </w:r>
            <w:r>
              <w:rPr>
                <w:szCs w:val="20"/>
              </w:rPr>
              <w:t>carcinoma were randomised to the</w:t>
            </w:r>
            <w:r w:rsidR="00AD284B">
              <w:rPr>
                <w:szCs w:val="20"/>
              </w:rPr>
              <w:t xml:space="preserve"> PARP inhibitor </w:t>
            </w:r>
            <w:proofErr w:type="spellStart"/>
            <w:r w:rsidR="00AD284B">
              <w:rPr>
                <w:szCs w:val="20"/>
              </w:rPr>
              <w:t>rucaparib</w:t>
            </w:r>
            <w:proofErr w:type="spellEnd"/>
            <w:r w:rsidR="00AD284B">
              <w:rPr>
                <w:szCs w:val="20"/>
              </w:rPr>
              <w:t xml:space="preserve"> (N=206)</w:t>
            </w:r>
            <w:r>
              <w:rPr>
                <w:szCs w:val="20"/>
              </w:rPr>
              <w:t xml:space="preserve">.  Central testing of DNA derived from patient archival tissue samples was conducted using Foundation Medicine T5 NGS assay.  </w:t>
            </w:r>
            <w:r w:rsidR="00DF0196">
              <w:rPr>
                <w:szCs w:val="20"/>
              </w:rPr>
              <w:t xml:space="preserve">The most recent specimen was used (pre-treatment biopsy if available or archival biopsy). Mutations detected in tumour tissue were identified as germline or somatic by analysis of genomic DNA from blood using the BROCA-homologous recombination sequencing assay.  </w:t>
            </w:r>
            <w:r>
              <w:rPr>
                <w:szCs w:val="20"/>
              </w:rPr>
              <w:t>Clinical outcomes in</w:t>
            </w:r>
            <w:r w:rsidR="00AD284B">
              <w:rPr>
                <w:szCs w:val="20"/>
              </w:rPr>
              <w:t>cluded overall response rate</w:t>
            </w:r>
            <w:r>
              <w:rPr>
                <w:szCs w:val="20"/>
              </w:rPr>
              <w:t xml:space="preserve"> in subgroups by BRCA mutation status (BRCA1, BRCA2, germline, somatic).</w:t>
            </w:r>
          </w:p>
        </w:tc>
        <w:tc>
          <w:tcPr>
            <w:tcW w:w="1962" w:type="pct"/>
          </w:tcPr>
          <w:p w:rsidR="006145A9" w:rsidRDefault="005B57E8" w:rsidP="00496A6E">
            <w:hyperlink r:id="rId43" w:tooltip="Link to Lancet Oncology article" w:history="1">
              <w:r w:rsidR="00ED3467" w:rsidRPr="006A33F2">
                <w:rPr>
                  <w:rStyle w:val="Hyperlink"/>
                </w:rPr>
                <w:t>https://www.sciencedirect.com/science/article/pii/S1470204516305599</w:t>
              </w:r>
            </w:hyperlink>
          </w:p>
          <w:p w:rsidR="00ED3467" w:rsidRDefault="00ED3467" w:rsidP="00496A6E">
            <w:r>
              <w:t xml:space="preserve">Swisher EM, Lin KK, </w:t>
            </w:r>
            <w:proofErr w:type="spellStart"/>
            <w:r>
              <w:t>Oza</w:t>
            </w:r>
            <w:proofErr w:type="spellEnd"/>
            <w:r>
              <w:t xml:space="preserve"> AM, Scott CL, et.al.</w:t>
            </w:r>
          </w:p>
          <w:p w:rsidR="00ED3467" w:rsidRDefault="00ED3467" w:rsidP="00496A6E">
            <w:r w:rsidRPr="00766482">
              <w:rPr>
                <w:i/>
              </w:rPr>
              <w:t>Lancet Oncology</w:t>
            </w:r>
            <w:r>
              <w:t xml:space="preserve">, 2017, </w:t>
            </w:r>
            <w:r w:rsidR="00766482" w:rsidRPr="00766482">
              <w:rPr>
                <w:b/>
              </w:rPr>
              <w:t>18</w:t>
            </w:r>
            <w:r w:rsidR="00766482">
              <w:t>:75-87.</w:t>
            </w:r>
          </w:p>
          <w:p w:rsidR="00ED3467" w:rsidRDefault="00ED3467" w:rsidP="00496A6E"/>
        </w:tc>
        <w:tc>
          <w:tcPr>
            <w:tcW w:w="549" w:type="pct"/>
          </w:tcPr>
          <w:p w:rsidR="006145A9" w:rsidRDefault="00ED3467" w:rsidP="00DD308E">
            <w:pPr>
              <w:rPr>
                <w:szCs w:val="20"/>
              </w:rPr>
            </w:pPr>
            <w:r>
              <w:rPr>
                <w:szCs w:val="20"/>
              </w:rPr>
              <w:t>January 2017</w:t>
            </w:r>
          </w:p>
        </w:tc>
      </w:tr>
      <w:tr w:rsidR="006145A9" w:rsidTr="00C72A0C">
        <w:trPr>
          <w:cantSplit/>
        </w:trPr>
        <w:tc>
          <w:tcPr>
            <w:tcW w:w="201" w:type="pct"/>
          </w:tcPr>
          <w:p w:rsidR="006145A9" w:rsidRDefault="003A54F3" w:rsidP="00DD308E">
            <w:pPr>
              <w:rPr>
                <w:szCs w:val="20"/>
              </w:rPr>
            </w:pPr>
            <w:r>
              <w:rPr>
                <w:szCs w:val="20"/>
              </w:rPr>
              <w:lastRenderedPageBreak/>
              <w:t>30</w:t>
            </w:r>
          </w:p>
        </w:tc>
        <w:tc>
          <w:tcPr>
            <w:tcW w:w="655" w:type="pct"/>
          </w:tcPr>
          <w:p w:rsidR="006145A9" w:rsidRDefault="00766482" w:rsidP="00DD308E">
            <w:pPr>
              <w:rPr>
                <w:szCs w:val="20"/>
              </w:rPr>
            </w:pPr>
            <w:r>
              <w:rPr>
                <w:szCs w:val="20"/>
              </w:rPr>
              <w:t>Randomised, double-blind, Phase III trial with diagnostic testing and subgroup analyses</w:t>
            </w:r>
          </w:p>
        </w:tc>
        <w:tc>
          <w:tcPr>
            <w:tcW w:w="532" w:type="pct"/>
          </w:tcPr>
          <w:p w:rsidR="006145A9" w:rsidRPr="00063036" w:rsidRDefault="00766482" w:rsidP="00E824E2">
            <w:pPr>
              <w:rPr>
                <w:szCs w:val="20"/>
              </w:rPr>
            </w:pPr>
            <w:r>
              <w:rPr>
                <w:szCs w:val="20"/>
              </w:rPr>
              <w:t>NOVA</w:t>
            </w:r>
          </w:p>
        </w:tc>
        <w:tc>
          <w:tcPr>
            <w:tcW w:w="1101" w:type="pct"/>
          </w:tcPr>
          <w:p w:rsidR="006145A9" w:rsidRDefault="00F82202" w:rsidP="00206DCC">
            <w:pPr>
              <w:rPr>
                <w:szCs w:val="20"/>
              </w:rPr>
            </w:pPr>
            <w:r>
              <w:rPr>
                <w:szCs w:val="20"/>
              </w:rPr>
              <w:t>Patients with platinum sensiti</w:t>
            </w:r>
            <w:r w:rsidR="001023A4">
              <w:rPr>
                <w:szCs w:val="20"/>
              </w:rPr>
              <w:t>ve, recurrent ovarian cancer</w:t>
            </w:r>
            <w:r>
              <w:rPr>
                <w:szCs w:val="20"/>
              </w:rPr>
              <w:t xml:space="preserve"> were randomised to</w:t>
            </w:r>
            <w:r w:rsidR="001023A4">
              <w:rPr>
                <w:szCs w:val="20"/>
              </w:rPr>
              <w:t xml:space="preserve"> the PARP inhibitor </w:t>
            </w:r>
            <w:proofErr w:type="spellStart"/>
            <w:r w:rsidR="001023A4">
              <w:rPr>
                <w:szCs w:val="20"/>
              </w:rPr>
              <w:t>niraparib</w:t>
            </w:r>
            <w:proofErr w:type="spellEnd"/>
            <w:r w:rsidR="001023A4">
              <w:rPr>
                <w:szCs w:val="20"/>
              </w:rPr>
              <w:t xml:space="preserve"> (n=372</w:t>
            </w:r>
            <w:r>
              <w:rPr>
                <w:szCs w:val="20"/>
              </w:rPr>
              <w:t>)</w:t>
            </w:r>
            <w:r w:rsidR="001023A4">
              <w:rPr>
                <w:szCs w:val="20"/>
              </w:rPr>
              <w:t xml:space="preserve"> or placebo (n=181) </w:t>
            </w:r>
            <w:r w:rsidR="00F53B8F">
              <w:rPr>
                <w:szCs w:val="20"/>
              </w:rPr>
              <w:t xml:space="preserve">with each treatment group containing a germline BRCA cohort and a non-germline BRCA cohort using </w:t>
            </w:r>
            <w:proofErr w:type="spellStart"/>
            <w:r w:rsidR="00F53B8F">
              <w:rPr>
                <w:szCs w:val="20"/>
              </w:rPr>
              <w:t>BRCAnalysis</w:t>
            </w:r>
            <w:proofErr w:type="spellEnd"/>
            <w:r w:rsidR="00F53B8F">
              <w:rPr>
                <w:szCs w:val="20"/>
              </w:rPr>
              <w:t xml:space="preserve"> testing (Myriad Genetics)</w:t>
            </w:r>
            <w:r>
              <w:rPr>
                <w:szCs w:val="20"/>
              </w:rPr>
              <w:t xml:space="preserve">.  </w:t>
            </w:r>
            <w:r w:rsidR="00F53B8F">
              <w:rPr>
                <w:szCs w:val="20"/>
              </w:rPr>
              <w:t xml:space="preserve">Prior to database lock tumour testing from archived samples was performed using </w:t>
            </w:r>
            <w:proofErr w:type="spellStart"/>
            <w:r w:rsidR="00F53B8F">
              <w:rPr>
                <w:szCs w:val="20"/>
              </w:rPr>
              <w:t>myChoice</w:t>
            </w:r>
            <w:proofErr w:type="spellEnd"/>
            <w:r w:rsidR="00F53B8F">
              <w:rPr>
                <w:szCs w:val="20"/>
              </w:rPr>
              <w:t xml:space="preserve"> </w:t>
            </w:r>
            <w:r w:rsidR="001116DB">
              <w:rPr>
                <w:szCs w:val="20"/>
              </w:rPr>
              <w:t>homologous recombination deficiency (</w:t>
            </w:r>
            <w:r w:rsidR="00F53B8F">
              <w:rPr>
                <w:szCs w:val="20"/>
              </w:rPr>
              <w:t>HRD</w:t>
            </w:r>
            <w:r w:rsidR="001116DB">
              <w:rPr>
                <w:szCs w:val="20"/>
              </w:rPr>
              <w:t>)</w:t>
            </w:r>
            <w:r w:rsidR="00F53B8F">
              <w:rPr>
                <w:szCs w:val="20"/>
              </w:rPr>
              <w:t xml:space="preserve"> test (Myriad Genetics</w:t>
            </w:r>
            <w:r w:rsidR="001116DB">
              <w:rPr>
                <w:szCs w:val="20"/>
              </w:rPr>
              <w:t xml:space="preserve">). </w:t>
            </w:r>
            <w:r>
              <w:rPr>
                <w:szCs w:val="20"/>
              </w:rPr>
              <w:t>Clinical outcome</w:t>
            </w:r>
            <w:r w:rsidR="001116DB">
              <w:rPr>
                <w:szCs w:val="20"/>
              </w:rPr>
              <w:t>s included progression-free survival</w:t>
            </w:r>
            <w:r>
              <w:rPr>
                <w:szCs w:val="20"/>
              </w:rPr>
              <w:t xml:space="preserve"> in subgroups by BRCA</w:t>
            </w:r>
            <w:r w:rsidR="001116DB">
              <w:rPr>
                <w:szCs w:val="20"/>
              </w:rPr>
              <w:t xml:space="preserve"> mutation status (</w:t>
            </w:r>
            <w:r>
              <w:rPr>
                <w:szCs w:val="20"/>
              </w:rPr>
              <w:t>germline</w:t>
            </w:r>
            <w:r w:rsidR="001116DB">
              <w:rPr>
                <w:szCs w:val="20"/>
              </w:rPr>
              <w:t xml:space="preserve"> BRCA, no germline HRD positive, no germline</w:t>
            </w:r>
            <w:r>
              <w:rPr>
                <w:szCs w:val="20"/>
              </w:rPr>
              <w:t>).</w:t>
            </w:r>
          </w:p>
        </w:tc>
        <w:tc>
          <w:tcPr>
            <w:tcW w:w="1962" w:type="pct"/>
          </w:tcPr>
          <w:p w:rsidR="006145A9" w:rsidRDefault="005B57E8" w:rsidP="00496A6E">
            <w:hyperlink r:id="rId44" w:tooltip="Link to New England Journal of Medicine article" w:history="1">
              <w:r w:rsidR="00766482" w:rsidRPr="006A33F2">
                <w:rPr>
                  <w:rStyle w:val="Hyperlink"/>
                </w:rPr>
                <w:t>http://www.nejm.org/doi/full/10.1056/NEJMoa1611310</w:t>
              </w:r>
            </w:hyperlink>
          </w:p>
          <w:p w:rsidR="00766482" w:rsidRDefault="00F82202" w:rsidP="00496A6E">
            <w:r>
              <w:t xml:space="preserve">Mirza MR, Monk BJ, </w:t>
            </w:r>
            <w:proofErr w:type="spellStart"/>
            <w:r>
              <w:t>Herrstedt</w:t>
            </w:r>
            <w:proofErr w:type="spellEnd"/>
            <w:r>
              <w:t xml:space="preserve"> J, </w:t>
            </w:r>
            <w:proofErr w:type="spellStart"/>
            <w:r>
              <w:t>Oza</w:t>
            </w:r>
            <w:proofErr w:type="spellEnd"/>
            <w:r>
              <w:t xml:space="preserve"> AM, et.al.</w:t>
            </w:r>
          </w:p>
          <w:p w:rsidR="00F82202" w:rsidRDefault="00F82202" w:rsidP="00496A6E">
            <w:r>
              <w:t>New England Journal of Medicine, 2016, 375(22): 2154-64.</w:t>
            </w:r>
          </w:p>
        </w:tc>
        <w:tc>
          <w:tcPr>
            <w:tcW w:w="549" w:type="pct"/>
          </w:tcPr>
          <w:p w:rsidR="006145A9" w:rsidRDefault="00F82202" w:rsidP="00DD308E">
            <w:pPr>
              <w:rPr>
                <w:szCs w:val="20"/>
              </w:rPr>
            </w:pPr>
            <w:r>
              <w:rPr>
                <w:szCs w:val="20"/>
              </w:rPr>
              <w:t>December 2016</w:t>
            </w:r>
          </w:p>
        </w:tc>
      </w:tr>
      <w:tr w:rsidR="00766482" w:rsidTr="00C72A0C">
        <w:trPr>
          <w:cantSplit/>
        </w:trPr>
        <w:tc>
          <w:tcPr>
            <w:tcW w:w="201" w:type="pct"/>
          </w:tcPr>
          <w:p w:rsidR="00766482" w:rsidRDefault="003A54F3" w:rsidP="00DD308E">
            <w:pPr>
              <w:rPr>
                <w:szCs w:val="20"/>
              </w:rPr>
            </w:pPr>
            <w:r>
              <w:rPr>
                <w:szCs w:val="20"/>
              </w:rPr>
              <w:lastRenderedPageBreak/>
              <w:t>31</w:t>
            </w:r>
          </w:p>
        </w:tc>
        <w:tc>
          <w:tcPr>
            <w:tcW w:w="655" w:type="pct"/>
          </w:tcPr>
          <w:p w:rsidR="00766482" w:rsidRDefault="00955BD6" w:rsidP="00DD308E">
            <w:pPr>
              <w:rPr>
                <w:szCs w:val="20"/>
              </w:rPr>
            </w:pPr>
            <w:r>
              <w:rPr>
                <w:szCs w:val="20"/>
              </w:rPr>
              <w:t>Population-based case-control study with BRCA</w:t>
            </w:r>
            <w:r w:rsidR="00464DD8">
              <w:rPr>
                <w:szCs w:val="20"/>
              </w:rPr>
              <w:t xml:space="preserve"> testing</w:t>
            </w:r>
          </w:p>
        </w:tc>
        <w:tc>
          <w:tcPr>
            <w:tcW w:w="532" w:type="pct"/>
          </w:tcPr>
          <w:p w:rsidR="00766482" w:rsidRPr="00063036" w:rsidRDefault="00955BD6" w:rsidP="00E824E2">
            <w:pPr>
              <w:rPr>
                <w:szCs w:val="20"/>
              </w:rPr>
            </w:pPr>
            <w:r>
              <w:rPr>
                <w:szCs w:val="20"/>
              </w:rPr>
              <w:t>Australian Ovarian Cancer Study</w:t>
            </w:r>
          </w:p>
        </w:tc>
        <w:tc>
          <w:tcPr>
            <w:tcW w:w="1101" w:type="pct"/>
          </w:tcPr>
          <w:p w:rsidR="00766482" w:rsidRDefault="00955BD6" w:rsidP="00206DCC">
            <w:pPr>
              <w:rPr>
                <w:szCs w:val="20"/>
              </w:rPr>
            </w:pPr>
            <w:r>
              <w:rPr>
                <w:szCs w:val="20"/>
              </w:rPr>
              <w:t>Patients comprised 1409 women with newly diagnosed invasive epithelial ovarian, peritoneal or fallopian tube cancer.</w:t>
            </w:r>
            <w:r w:rsidR="00464DD8">
              <w:rPr>
                <w:szCs w:val="20"/>
              </w:rPr>
              <w:t xml:space="preserve"> The majority of patients had high grade </w:t>
            </w:r>
            <w:r w:rsidR="00A86B1C">
              <w:rPr>
                <w:szCs w:val="20"/>
              </w:rPr>
              <w:t xml:space="preserve">tumours with serous histology.  </w:t>
            </w:r>
            <w:r w:rsidR="00464DD8">
              <w:rPr>
                <w:szCs w:val="20"/>
              </w:rPr>
              <w:t>Germline testing was completed using sequencing and multiplex ligation dependent probe amplification (MPLA). Tumour DNA samples were screened for somatic mutations in all coding exons of BRCA1 and BRCA2 using high resolution melt analysis.</w:t>
            </w:r>
            <w:r w:rsidR="00A86B1C">
              <w:rPr>
                <w:szCs w:val="20"/>
              </w:rPr>
              <w:t xml:space="preserve">  Treatments were captured in the analysis and clinical outcomes, including time to progression and time to death, were reported.</w:t>
            </w:r>
          </w:p>
        </w:tc>
        <w:tc>
          <w:tcPr>
            <w:tcW w:w="1962" w:type="pct"/>
          </w:tcPr>
          <w:p w:rsidR="00766482" w:rsidRDefault="005B57E8" w:rsidP="00496A6E">
            <w:hyperlink r:id="rId45" w:tooltip="Link to Journal of Clinical Oncology article" w:history="1">
              <w:r w:rsidR="00BE0556" w:rsidRPr="006A33F2">
                <w:rPr>
                  <w:rStyle w:val="Hyperlink"/>
                </w:rPr>
                <w:t>http://ascopubs.org/doi/full/10.1200/JCO.2011.39.8545</w:t>
              </w:r>
            </w:hyperlink>
          </w:p>
          <w:p w:rsidR="00A86B1C" w:rsidRDefault="00A86B1C" w:rsidP="00496A6E">
            <w:r>
              <w:t xml:space="preserve">Alsop K, </w:t>
            </w:r>
            <w:proofErr w:type="spellStart"/>
            <w:r>
              <w:t>Fereday</w:t>
            </w:r>
            <w:proofErr w:type="spellEnd"/>
            <w:r>
              <w:t xml:space="preserve"> S, Meldrum C, DeFazio A, et.al.</w:t>
            </w:r>
          </w:p>
          <w:p w:rsidR="00A86B1C" w:rsidRDefault="00A86B1C" w:rsidP="00496A6E">
            <w:r w:rsidRPr="00A86B1C">
              <w:rPr>
                <w:i/>
              </w:rPr>
              <w:t>Journal of Clinical Oncology</w:t>
            </w:r>
            <w:r>
              <w:t xml:space="preserve">, 2012, </w:t>
            </w:r>
            <w:r w:rsidRPr="00A86B1C">
              <w:rPr>
                <w:b/>
              </w:rPr>
              <w:t>30</w:t>
            </w:r>
            <w:r>
              <w:t>:2654-2663.</w:t>
            </w:r>
          </w:p>
        </w:tc>
        <w:tc>
          <w:tcPr>
            <w:tcW w:w="549" w:type="pct"/>
          </w:tcPr>
          <w:p w:rsidR="00766482" w:rsidRDefault="00A86B1C" w:rsidP="00DD308E">
            <w:pPr>
              <w:rPr>
                <w:szCs w:val="20"/>
              </w:rPr>
            </w:pPr>
            <w:r>
              <w:rPr>
                <w:szCs w:val="20"/>
              </w:rPr>
              <w:t>July 2012</w:t>
            </w:r>
          </w:p>
        </w:tc>
      </w:tr>
    </w:tbl>
    <w:p w:rsidR="000A62F4" w:rsidRPr="00063036" w:rsidRDefault="000A62F4" w:rsidP="00DD308E">
      <w:pPr>
        <w:spacing w:after="0"/>
        <w:ind w:left="426"/>
        <w:rPr>
          <w:szCs w:val="20"/>
        </w:rPr>
      </w:pPr>
      <w:r w:rsidRPr="00063036">
        <w:rPr>
          <w:szCs w:val="20"/>
        </w:rPr>
        <w:t xml:space="preserve">NOTE: There are </w:t>
      </w:r>
      <w:r w:rsidR="00847F22" w:rsidRPr="00063036">
        <w:rPr>
          <w:szCs w:val="20"/>
        </w:rPr>
        <w:t xml:space="preserve">now </w:t>
      </w:r>
      <w:r w:rsidR="00957FCA">
        <w:rPr>
          <w:szCs w:val="20"/>
        </w:rPr>
        <w:t>many</w:t>
      </w:r>
      <w:r w:rsidRPr="00063036">
        <w:rPr>
          <w:szCs w:val="20"/>
        </w:rPr>
        <w:t xml:space="preserve"> published studies</w:t>
      </w:r>
      <w:r w:rsidR="00847F22" w:rsidRPr="00063036">
        <w:rPr>
          <w:szCs w:val="20"/>
        </w:rPr>
        <w:t xml:space="preserve"> reporting methods for</w:t>
      </w:r>
      <w:r w:rsidRPr="00063036">
        <w:rPr>
          <w:szCs w:val="20"/>
        </w:rPr>
        <w:t xml:space="preserve"> </w:t>
      </w:r>
      <w:r w:rsidR="00847F22" w:rsidRPr="00063036">
        <w:rPr>
          <w:szCs w:val="20"/>
        </w:rPr>
        <w:t xml:space="preserve">detection of somatic mutations in BRCA1/2 in </w:t>
      </w:r>
      <w:r w:rsidR="00962F52">
        <w:rPr>
          <w:szCs w:val="20"/>
        </w:rPr>
        <w:t xml:space="preserve">ovarian </w:t>
      </w:r>
      <w:r w:rsidR="00847F22" w:rsidRPr="00063036">
        <w:rPr>
          <w:szCs w:val="20"/>
        </w:rPr>
        <w:t xml:space="preserve">tumour tissue, or comparison of somatic versus germline BRCA1/2 testing in patients with ovarian cancer. A </w:t>
      </w:r>
      <w:r w:rsidR="00962F52">
        <w:rPr>
          <w:szCs w:val="20"/>
        </w:rPr>
        <w:t xml:space="preserve">selection of key papers is outlined above and a </w:t>
      </w:r>
      <w:r w:rsidR="00847F22" w:rsidRPr="00063036">
        <w:rPr>
          <w:szCs w:val="20"/>
        </w:rPr>
        <w:t>comprehensive</w:t>
      </w:r>
      <w:r w:rsidR="00957FCA">
        <w:rPr>
          <w:szCs w:val="20"/>
        </w:rPr>
        <w:t>, current</w:t>
      </w:r>
      <w:r w:rsidR="00847F22" w:rsidRPr="00063036">
        <w:rPr>
          <w:szCs w:val="20"/>
        </w:rPr>
        <w:t xml:space="preserve"> overview of the published evidence will be presented in the submission</w:t>
      </w:r>
      <w:r w:rsidR="00063036" w:rsidRPr="00063036">
        <w:rPr>
          <w:szCs w:val="20"/>
        </w:rPr>
        <w:t>.</w:t>
      </w:r>
    </w:p>
    <w:p w:rsidR="000A62F4" w:rsidRDefault="000A62F4" w:rsidP="00DD308E">
      <w:pPr>
        <w:spacing w:after="0"/>
        <w:ind w:left="426"/>
        <w:rPr>
          <w:i/>
          <w:szCs w:val="20"/>
        </w:rPr>
      </w:pPr>
    </w:p>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lastRenderedPageBreak/>
        <w:t>**Provide high level information including population numbers and whether patients are being recruited or in post-recruitment, including providing the trial registration number to allow for tracking purposes.</w:t>
      </w:r>
    </w:p>
    <w:p w:rsidR="00DD308E" w:rsidRDefault="00DD308E" w:rsidP="00C26404">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427"/>
        <w:gridCol w:w="3028"/>
        <w:gridCol w:w="2446"/>
        <w:gridCol w:w="3745"/>
        <w:gridCol w:w="3045"/>
        <w:gridCol w:w="1483"/>
      </w:tblGrid>
      <w:tr w:rsidR="004C49EF" w:rsidTr="008E0FE7">
        <w:trPr>
          <w:cantSplit/>
          <w:tblHeader/>
        </w:trPr>
        <w:tc>
          <w:tcPr>
            <w:tcW w:w="151" w:type="pct"/>
          </w:tcPr>
          <w:p w:rsidR="004C49EF" w:rsidRPr="00C94F16" w:rsidRDefault="00C94F16" w:rsidP="00855944">
            <w:pPr>
              <w:pStyle w:val="TableHEADER"/>
              <w:rPr>
                <w:color w:val="FFFFFF" w:themeColor="background1"/>
              </w:rPr>
            </w:pPr>
            <w:r w:rsidRPr="00C94F16">
              <w:rPr>
                <w:color w:val="FFFFFF" w:themeColor="background1"/>
              </w:rPr>
              <w:t>.</w:t>
            </w:r>
          </w:p>
        </w:tc>
        <w:tc>
          <w:tcPr>
            <w:tcW w:w="1068" w:type="pct"/>
          </w:tcPr>
          <w:p w:rsidR="004C49EF" w:rsidRDefault="004C49EF" w:rsidP="00855944">
            <w:pPr>
              <w:pStyle w:val="TableHEADER"/>
            </w:pPr>
            <w:r>
              <w:t>Type of study design*</w:t>
            </w:r>
          </w:p>
        </w:tc>
        <w:tc>
          <w:tcPr>
            <w:tcW w:w="863" w:type="pct"/>
          </w:tcPr>
          <w:p w:rsidR="004C49EF" w:rsidRDefault="004C49EF" w:rsidP="00855944">
            <w:pPr>
              <w:pStyle w:val="TableHEADER"/>
            </w:pPr>
            <w:r>
              <w:t>Title of research (including any trial identifier if relevant)</w:t>
            </w:r>
          </w:p>
        </w:tc>
        <w:tc>
          <w:tcPr>
            <w:tcW w:w="1321" w:type="pct"/>
          </w:tcPr>
          <w:p w:rsidR="004C49EF" w:rsidRDefault="00367C1B" w:rsidP="00855944">
            <w:pPr>
              <w:pStyle w:val="TableHEADER"/>
            </w:pPr>
            <w:r>
              <w:t xml:space="preserve">Short description of research </w:t>
            </w:r>
            <w:r w:rsidR="004C49EF">
              <w:t>(max 50 words)**</w:t>
            </w:r>
          </w:p>
        </w:tc>
        <w:tc>
          <w:tcPr>
            <w:tcW w:w="1074" w:type="pct"/>
          </w:tcPr>
          <w:p w:rsidR="004C49EF" w:rsidRDefault="004C49EF" w:rsidP="00855944">
            <w:pPr>
              <w:pStyle w:val="TableHEADER"/>
            </w:pPr>
            <w:r w:rsidRPr="00E82F54">
              <w:t xml:space="preserve">Website link to </w:t>
            </w:r>
            <w:r>
              <w:t>research (if available)</w:t>
            </w:r>
          </w:p>
        </w:tc>
        <w:tc>
          <w:tcPr>
            <w:tcW w:w="523" w:type="pct"/>
          </w:tcPr>
          <w:p w:rsidR="004C49EF" w:rsidRDefault="004C49EF" w:rsidP="00855944">
            <w:pPr>
              <w:pStyle w:val="TableHEADER"/>
            </w:pPr>
            <w:r w:rsidRPr="00E82F54">
              <w:t>Date*</w:t>
            </w:r>
            <w:r>
              <w:t>**</w:t>
            </w:r>
          </w:p>
        </w:tc>
      </w:tr>
      <w:tr w:rsidR="004C49EF" w:rsidTr="008E0FE7">
        <w:trPr>
          <w:cantSplit/>
        </w:trPr>
        <w:tc>
          <w:tcPr>
            <w:tcW w:w="151" w:type="pct"/>
          </w:tcPr>
          <w:p w:rsidR="004C49EF" w:rsidRPr="00C94F16" w:rsidRDefault="00C94F16" w:rsidP="00526478">
            <w:pPr>
              <w:rPr>
                <w:color w:val="FFFFFF" w:themeColor="background1"/>
                <w:szCs w:val="20"/>
              </w:rPr>
            </w:pPr>
            <w:r w:rsidRPr="00C94F16">
              <w:rPr>
                <w:color w:val="FFFFFF" w:themeColor="background1"/>
                <w:szCs w:val="20"/>
              </w:rPr>
              <w:t>.</w:t>
            </w:r>
          </w:p>
        </w:tc>
        <w:tc>
          <w:tcPr>
            <w:tcW w:w="1068" w:type="pct"/>
          </w:tcPr>
          <w:p w:rsidR="004C49EF" w:rsidRPr="00F6432F" w:rsidRDefault="00F6432F" w:rsidP="004F6DF3">
            <w:pPr>
              <w:rPr>
                <w:b/>
                <w:szCs w:val="20"/>
              </w:rPr>
            </w:pPr>
            <w:r w:rsidRPr="00F6432F">
              <w:rPr>
                <w:b/>
                <w:szCs w:val="20"/>
              </w:rPr>
              <w:t>Redacted</w:t>
            </w:r>
          </w:p>
        </w:tc>
        <w:tc>
          <w:tcPr>
            <w:tcW w:w="863" w:type="pct"/>
          </w:tcPr>
          <w:p w:rsidR="004C49EF" w:rsidRPr="00885AFE" w:rsidRDefault="00F6432F" w:rsidP="00526478">
            <w:pPr>
              <w:rPr>
                <w:szCs w:val="20"/>
              </w:rPr>
            </w:pPr>
            <w:r w:rsidRPr="00F6432F">
              <w:rPr>
                <w:b/>
                <w:szCs w:val="20"/>
              </w:rPr>
              <w:t>Redacted</w:t>
            </w:r>
          </w:p>
        </w:tc>
        <w:tc>
          <w:tcPr>
            <w:tcW w:w="1321" w:type="pct"/>
          </w:tcPr>
          <w:p w:rsidR="004C49EF" w:rsidRPr="008355B3" w:rsidRDefault="00F6432F" w:rsidP="00885AFE">
            <w:pPr>
              <w:rPr>
                <w:szCs w:val="20"/>
              </w:rPr>
            </w:pPr>
            <w:r w:rsidRPr="00F6432F">
              <w:rPr>
                <w:b/>
                <w:szCs w:val="20"/>
              </w:rPr>
              <w:t>Redacted</w:t>
            </w:r>
          </w:p>
        </w:tc>
        <w:tc>
          <w:tcPr>
            <w:tcW w:w="1074" w:type="pct"/>
          </w:tcPr>
          <w:p w:rsidR="004C49EF" w:rsidRPr="00DD41DB" w:rsidRDefault="00F6432F" w:rsidP="00885AFE">
            <w:pPr>
              <w:rPr>
                <w:rFonts w:ascii="Calibri" w:hAnsi="Calibri"/>
                <w:szCs w:val="20"/>
              </w:rPr>
            </w:pPr>
            <w:r w:rsidRPr="00F6432F">
              <w:rPr>
                <w:b/>
                <w:szCs w:val="20"/>
              </w:rPr>
              <w:t>Redacted</w:t>
            </w:r>
          </w:p>
        </w:tc>
        <w:tc>
          <w:tcPr>
            <w:tcW w:w="523" w:type="pct"/>
          </w:tcPr>
          <w:p w:rsidR="004C49EF" w:rsidRPr="00885AFE" w:rsidRDefault="00F6432F" w:rsidP="00526478">
            <w:pPr>
              <w:rPr>
                <w:szCs w:val="20"/>
              </w:rPr>
            </w:pPr>
            <w:r w:rsidRPr="00F6432F">
              <w:rPr>
                <w:b/>
                <w:szCs w:val="20"/>
              </w:rPr>
              <w:t>Redacted</w:t>
            </w:r>
          </w:p>
        </w:tc>
      </w:tr>
      <w:tr w:rsidR="004C49EF" w:rsidTr="008E0FE7">
        <w:trPr>
          <w:cantSplit/>
        </w:trPr>
        <w:tc>
          <w:tcPr>
            <w:tcW w:w="151" w:type="pct"/>
          </w:tcPr>
          <w:p w:rsidR="004C49EF" w:rsidRPr="00C94F16" w:rsidRDefault="00C94F16" w:rsidP="00526478">
            <w:pPr>
              <w:rPr>
                <w:color w:val="FFFFFF" w:themeColor="background1"/>
                <w:szCs w:val="20"/>
              </w:rPr>
            </w:pPr>
            <w:r w:rsidRPr="00C94F16">
              <w:rPr>
                <w:color w:val="FFFFFF" w:themeColor="background1"/>
                <w:szCs w:val="20"/>
              </w:rPr>
              <w:t>.</w:t>
            </w:r>
          </w:p>
        </w:tc>
        <w:tc>
          <w:tcPr>
            <w:tcW w:w="1068" w:type="pct"/>
          </w:tcPr>
          <w:p w:rsidR="004C49EF" w:rsidRPr="00DD41DB" w:rsidRDefault="00F6432F" w:rsidP="00526478">
            <w:pPr>
              <w:rPr>
                <w:szCs w:val="20"/>
              </w:rPr>
            </w:pPr>
            <w:r w:rsidRPr="00F6432F">
              <w:rPr>
                <w:b/>
                <w:szCs w:val="20"/>
              </w:rPr>
              <w:t>Redacted</w:t>
            </w:r>
          </w:p>
        </w:tc>
        <w:tc>
          <w:tcPr>
            <w:tcW w:w="863" w:type="pct"/>
          </w:tcPr>
          <w:p w:rsidR="004C49EF" w:rsidRPr="009855D5" w:rsidRDefault="00F6432F" w:rsidP="00526478">
            <w:pPr>
              <w:rPr>
                <w:szCs w:val="20"/>
              </w:rPr>
            </w:pPr>
            <w:r w:rsidRPr="00F6432F">
              <w:rPr>
                <w:b/>
                <w:szCs w:val="20"/>
              </w:rPr>
              <w:t>Redacted</w:t>
            </w:r>
          </w:p>
        </w:tc>
        <w:tc>
          <w:tcPr>
            <w:tcW w:w="1321" w:type="pct"/>
          </w:tcPr>
          <w:p w:rsidR="004C49EF" w:rsidRPr="00C06770" w:rsidRDefault="00F6432F" w:rsidP="00166A53">
            <w:pPr>
              <w:rPr>
                <w:szCs w:val="20"/>
              </w:rPr>
            </w:pPr>
            <w:r w:rsidRPr="00F6432F">
              <w:rPr>
                <w:b/>
                <w:szCs w:val="20"/>
              </w:rPr>
              <w:t>Redacted</w:t>
            </w:r>
          </w:p>
        </w:tc>
        <w:tc>
          <w:tcPr>
            <w:tcW w:w="1074" w:type="pct"/>
          </w:tcPr>
          <w:p w:rsidR="006D2168" w:rsidRPr="006D2168" w:rsidRDefault="00F6432F" w:rsidP="00526478">
            <w:pPr>
              <w:rPr>
                <w:szCs w:val="20"/>
              </w:rPr>
            </w:pPr>
            <w:r w:rsidRPr="00F6432F">
              <w:rPr>
                <w:b/>
                <w:szCs w:val="20"/>
              </w:rPr>
              <w:t>Redacted</w:t>
            </w:r>
          </w:p>
        </w:tc>
        <w:tc>
          <w:tcPr>
            <w:tcW w:w="523" w:type="pct"/>
          </w:tcPr>
          <w:p w:rsidR="004C49EF" w:rsidRPr="006D2168" w:rsidRDefault="00F6432F" w:rsidP="00526478">
            <w:pPr>
              <w:rPr>
                <w:szCs w:val="20"/>
              </w:rPr>
            </w:pPr>
            <w:r w:rsidRPr="00F6432F">
              <w:rPr>
                <w:b/>
                <w:szCs w:val="20"/>
              </w:rPr>
              <w:t>Redacted</w:t>
            </w:r>
          </w:p>
        </w:tc>
      </w:tr>
      <w:tr w:rsidR="004C49EF" w:rsidTr="008E0FE7">
        <w:trPr>
          <w:cantSplit/>
        </w:trPr>
        <w:tc>
          <w:tcPr>
            <w:tcW w:w="151" w:type="pct"/>
          </w:tcPr>
          <w:p w:rsidR="004C49EF" w:rsidRPr="00C94F16" w:rsidRDefault="00C94F16" w:rsidP="00526478">
            <w:pPr>
              <w:rPr>
                <w:color w:val="FFFFFF" w:themeColor="background1"/>
                <w:szCs w:val="20"/>
              </w:rPr>
            </w:pPr>
            <w:r w:rsidRPr="00C94F16">
              <w:rPr>
                <w:color w:val="FFFFFF" w:themeColor="background1"/>
                <w:szCs w:val="20"/>
              </w:rPr>
              <w:t>.</w:t>
            </w:r>
          </w:p>
        </w:tc>
        <w:tc>
          <w:tcPr>
            <w:tcW w:w="1068" w:type="pct"/>
          </w:tcPr>
          <w:p w:rsidR="004C49EF" w:rsidRPr="00926A35" w:rsidRDefault="00F6432F" w:rsidP="00526478">
            <w:pPr>
              <w:rPr>
                <w:szCs w:val="20"/>
              </w:rPr>
            </w:pPr>
            <w:r w:rsidRPr="00F6432F">
              <w:rPr>
                <w:b/>
                <w:szCs w:val="20"/>
              </w:rPr>
              <w:t>Redacted</w:t>
            </w:r>
          </w:p>
        </w:tc>
        <w:tc>
          <w:tcPr>
            <w:tcW w:w="863" w:type="pct"/>
          </w:tcPr>
          <w:p w:rsidR="004C49EF" w:rsidRPr="00926A35" w:rsidRDefault="00F6432F" w:rsidP="00526478">
            <w:pPr>
              <w:rPr>
                <w:szCs w:val="20"/>
              </w:rPr>
            </w:pPr>
            <w:r w:rsidRPr="00F6432F">
              <w:rPr>
                <w:b/>
                <w:szCs w:val="20"/>
              </w:rPr>
              <w:t>Redacted</w:t>
            </w:r>
          </w:p>
        </w:tc>
        <w:tc>
          <w:tcPr>
            <w:tcW w:w="1321" w:type="pct"/>
          </w:tcPr>
          <w:p w:rsidR="009615A9" w:rsidRPr="00926A35" w:rsidRDefault="00F6432F" w:rsidP="00526478">
            <w:pPr>
              <w:rPr>
                <w:szCs w:val="20"/>
              </w:rPr>
            </w:pPr>
            <w:r w:rsidRPr="00F6432F">
              <w:rPr>
                <w:b/>
                <w:szCs w:val="20"/>
              </w:rPr>
              <w:t>Redacted</w:t>
            </w:r>
          </w:p>
        </w:tc>
        <w:tc>
          <w:tcPr>
            <w:tcW w:w="1074" w:type="pct"/>
          </w:tcPr>
          <w:p w:rsidR="00BB0A60" w:rsidRPr="00926A35" w:rsidRDefault="00F6432F" w:rsidP="009B62BD">
            <w:pPr>
              <w:rPr>
                <w:szCs w:val="20"/>
              </w:rPr>
            </w:pPr>
            <w:r w:rsidRPr="00F6432F">
              <w:rPr>
                <w:b/>
                <w:szCs w:val="20"/>
              </w:rPr>
              <w:t>Redacted</w:t>
            </w:r>
          </w:p>
        </w:tc>
        <w:tc>
          <w:tcPr>
            <w:tcW w:w="523" w:type="pct"/>
          </w:tcPr>
          <w:p w:rsidR="004C49EF" w:rsidRPr="00926A35" w:rsidRDefault="00F6432F" w:rsidP="00526478">
            <w:pPr>
              <w:rPr>
                <w:szCs w:val="20"/>
              </w:rPr>
            </w:pPr>
            <w:r w:rsidRPr="00F6432F">
              <w:rPr>
                <w:b/>
                <w:szCs w:val="20"/>
              </w:rPr>
              <w:t>Redacted</w:t>
            </w:r>
          </w:p>
        </w:tc>
      </w:tr>
    </w:tbl>
    <w:p w:rsidR="00DB4646" w:rsidRDefault="00DB4646" w:rsidP="004C49EF">
      <w:pPr>
        <w:spacing w:after="0"/>
        <w:ind w:left="426"/>
        <w:rPr>
          <w:i/>
          <w:szCs w:val="20"/>
        </w:rPr>
      </w:pPr>
    </w:p>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6044DF" w:rsidP="00A727B6">
      <w:pPr>
        <w:ind w:left="426"/>
      </w:pPr>
      <w:r>
        <w:t xml:space="preserve">The group of health professionals who </w:t>
      </w:r>
      <w:r w:rsidR="008D5178">
        <w:t xml:space="preserve">would </w:t>
      </w:r>
      <w:r>
        <w:t xml:space="preserve">provide the medical service </w:t>
      </w:r>
      <w:bookmarkStart w:id="5" w:name="_Hlk505776744"/>
      <w:r w:rsidR="008D5178">
        <w:t>(tumour testing to detect somatic BRCA1/2 gene mutations</w:t>
      </w:r>
      <w:r w:rsidR="00F1552C">
        <w:t>)</w:t>
      </w:r>
      <w:bookmarkEnd w:id="5"/>
      <w:r w:rsidR="00F1552C">
        <w:t xml:space="preserve"> are the Royal College of Pathologists of Australasia (RCPA).  A statement from the RCPA on the clinical relevance of the test is pro</w:t>
      </w:r>
      <w:r w:rsidR="006D3D41">
        <w:t>vided as an attachment to this A</w:t>
      </w:r>
      <w:r w:rsidR="00F1552C">
        <w:t>pplication.</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F1552C" w:rsidP="00A727B6">
      <w:pPr>
        <w:ind w:left="426"/>
      </w:pPr>
      <w:r>
        <w:t xml:space="preserve">Not applicable, the comparator </w:t>
      </w:r>
      <w:r w:rsidR="0073635F">
        <w:t>for</w:t>
      </w:r>
      <w:r>
        <w:t xml:space="preserve"> </w:t>
      </w:r>
      <w:r w:rsidR="0073635F">
        <w:t xml:space="preserve">tumour testing to detect somatic BRCA1/2 gene mutations </w:t>
      </w:r>
      <w:r w:rsidR="00C30239">
        <w:t xml:space="preserve">is no tumour </w:t>
      </w:r>
      <w:r>
        <w:t>testing.</w:t>
      </w:r>
      <w:r w:rsidR="008909E5">
        <w:t xml:space="preserve"> </w:t>
      </w:r>
      <w:r w:rsidR="006B7F32">
        <w:t>Genetic</w:t>
      </w:r>
      <w:r w:rsidR="008909E5">
        <w:t xml:space="preserve"> counselling services </w:t>
      </w:r>
      <w:r w:rsidR="006B7F32">
        <w:t>would not be required for patients who have somatic BRCA1/2 gene mutations.</w:t>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F91977" w:rsidRDefault="00643E47" w:rsidP="00093E78">
      <w:pPr>
        <w:ind w:left="426"/>
        <w:rPr>
          <w:szCs w:val="20"/>
        </w:rPr>
      </w:pPr>
      <w:r>
        <w:t xml:space="preserve">The main consumer organisation representing </w:t>
      </w:r>
      <w:r w:rsidR="00C30239">
        <w:t xml:space="preserve">patients </w:t>
      </w:r>
      <w:r w:rsidR="006B7F32">
        <w:t xml:space="preserve">with ovarian cancer </w:t>
      </w:r>
      <w:r w:rsidR="00C30239">
        <w:t>is Ovarian Cancer Australia (OCA</w:t>
      </w:r>
      <w:r w:rsidR="00C30239" w:rsidRPr="003A54F3">
        <w:t>).  A letter from O</w:t>
      </w:r>
      <w:r w:rsidR="009C3E57" w:rsidRPr="003A54F3">
        <w:t>CA</w:t>
      </w:r>
      <w:r w:rsidR="00093E78" w:rsidRPr="003A54F3">
        <w:t xml:space="preserve"> sup</w:t>
      </w:r>
      <w:r w:rsidR="008D4E22" w:rsidRPr="003A54F3">
        <w:t>porting this A</w:t>
      </w:r>
      <w:r w:rsidR="00093E78" w:rsidRPr="003A54F3">
        <w:t>pplication is provided as an attachment</w:t>
      </w:r>
      <w:r w:rsidR="006D3D41" w:rsidRPr="003A54F3">
        <w:t xml:space="preserve"> to this Application</w:t>
      </w:r>
      <w:r w:rsidR="00093E78" w:rsidRPr="003A54F3">
        <w:t>.</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6B5D56" w:rsidRDefault="008D4E22" w:rsidP="008D4E22">
      <w:pPr>
        <w:ind w:left="360"/>
        <w:rPr>
          <w:szCs w:val="20"/>
        </w:rPr>
      </w:pPr>
      <w:r>
        <w:rPr>
          <w:szCs w:val="20"/>
        </w:rPr>
        <w:t>The most similar tests to the proposed service</w:t>
      </w:r>
      <w:r w:rsidR="00295C85">
        <w:rPr>
          <w:szCs w:val="20"/>
        </w:rPr>
        <w:t xml:space="preserve"> would be MBS Items 73295</w:t>
      </w:r>
      <w:r>
        <w:rPr>
          <w:szCs w:val="20"/>
        </w:rPr>
        <w:t xml:space="preserve"> (germline BRCA1/2 testing to determine eligibility for </w:t>
      </w:r>
      <w:proofErr w:type="spellStart"/>
      <w:r>
        <w:rPr>
          <w:szCs w:val="20"/>
        </w:rPr>
        <w:t>olaparib</w:t>
      </w:r>
      <w:proofErr w:type="spellEnd"/>
      <w:r>
        <w:rPr>
          <w:szCs w:val="20"/>
        </w:rPr>
        <w:t>) and MBS Items 73296 &amp; 73297 (</w:t>
      </w:r>
      <w:r w:rsidR="00360E7B">
        <w:rPr>
          <w:szCs w:val="20"/>
        </w:rPr>
        <w:t>which includes germline BRCA1/2 testing in patients with ovarian cancer at high risk (&gt;10%) of harbouring a mutation, and testing for their biological relatives).</w:t>
      </w:r>
    </w:p>
    <w:p w:rsidR="00A96329" w:rsidRPr="00A96329" w:rsidRDefault="00E82F54" w:rsidP="00A96329">
      <w:pPr>
        <w:pStyle w:val="Heading2"/>
      </w:pPr>
      <w:r w:rsidRPr="00154B00">
        <w:t>Nominate two experts who could be approached about the proposed medical service and the current clinical management of the service(s):</w:t>
      </w:r>
    </w:p>
    <w:p w:rsidR="00A6636D" w:rsidRPr="00987ABE" w:rsidRDefault="00CA0DB0" w:rsidP="00A6636D">
      <w:pPr>
        <w:ind w:left="426"/>
        <w:rPr>
          <w:szCs w:val="20"/>
        </w:rPr>
      </w:pPr>
      <w:r>
        <w:rPr>
          <w:b/>
          <w:szCs w:val="20"/>
        </w:rPr>
        <w:t>Name of expert 1</w:t>
      </w:r>
      <w:r w:rsidR="00F6432F">
        <w:rPr>
          <w:szCs w:val="20"/>
        </w:rPr>
        <w:t xml:space="preserve">: </w:t>
      </w:r>
      <w:r w:rsidR="00F6432F" w:rsidRPr="00F6432F">
        <w:rPr>
          <w:b/>
          <w:szCs w:val="20"/>
        </w:rPr>
        <w:t>Redacted</w:t>
      </w:r>
    </w:p>
    <w:p w:rsidR="00A6636D" w:rsidRPr="00987ABE" w:rsidRDefault="00A6636D" w:rsidP="00A6636D">
      <w:pPr>
        <w:ind w:left="426"/>
        <w:rPr>
          <w:szCs w:val="20"/>
        </w:rPr>
      </w:pPr>
      <w:r>
        <w:rPr>
          <w:szCs w:val="20"/>
        </w:rPr>
        <w:t xml:space="preserve">Telephone number(s): </w:t>
      </w:r>
      <w:r w:rsidR="00F6432F" w:rsidRPr="00F6432F">
        <w:rPr>
          <w:b/>
        </w:rPr>
        <w:t>Redacted</w:t>
      </w:r>
    </w:p>
    <w:p w:rsidR="00A6636D" w:rsidRPr="00F6432F" w:rsidRDefault="00A6636D" w:rsidP="00A6636D">
      <w:pPr>
        <w:ind w:left="426"/>
        <w:rPr>
          <w:b/>
          <w:szCs w:val="20"/>
        </w:rPr>
      </w:pPr>
      <w:r>
        <w:rPr>
          <w:szCs w:val="20"/>
        </w:rPr>
        <w:t xml:space="preserve">Email address: </w:t>
      </w:r>
      <w:r w:rsidR="00F6432F" w:rsidRPr="00F6432F">
        <w:rPr>
          <w:b/>
        </w:rPr>
        <w:t>Redacted</w:t>
      </w:r>
    </w:p>
    <w:p w:rsidR="00A6636D" w:rsidRPr="00154B00" w:rsidRDefault="00A6636D" w:rsidP="00A6636D">
      <w:pPr>
        <w:ind w:left="426"/>
        <w:rPr>
          <w:szCs w:val="20"/>
        </w:rPr>
      </w:pPr>
      <w:r>
        <w:rPr>
          <w:szCs w:val="20"/>
        </w:rPr>
        <w:t xml:space="preserve">Justification of expertise: </w:t>
      </w:r>
      <w:r w:rsidR="00F6432F" w:rsidRPr="00F6432F">
        <w:rPr>
          <w:b/>
          <w:szCs w:val="20"/>
        </w:rPr>
        <w:t>Redacted</w:t>
      </w:r>
    </w:p>
    <w:p w:rsidR="00CA0DB0" w:rsidRPr="00987ABE" w:rsidRDefault="00CA0DB0" w:rsidP="00CA0DB0">
      <w:pPr>
        <w:ind w:left="426"/>
        <w:rPr>
          <w:szCs w:val="20"/>
        </w:rPr>
      </w:pPr>
      <w:r>
        <w:rPr>
          <w:b/>
          <w:szCs w:val="20"/>
        </w:rPr>
        <w:t>Name of expert 2</w:t>
      </w:r>
      <w:r>
        <w:rPr>
          <w:szCs w:val="20"/>
        </w:rPr>
        <w:t xml:space="preserve">: </w:t>
      </w:r>
      <w:r w:rsidR="00F6432F" w:rsidRPr="00F6432F">
        <w:rPr>
          <w:b/>
          <w:szCs w:val="20"/>
        </w:rPr>
        <w:t>Redacted</w:t>
      </w:r>
    </w:p>
    <w:p w:rsidR="00283ACD" w:rsidRPr="00F6432F" w:rsidRDefault="00CA0DB0" w:rsidP="00ED60E2">
      <w:pPr>
        <w:ind w:firstLine="426"/>
        <w:rPr>
          <w:b/>
        </w:rPr>
      </w:pPr>
      <w:r>
        <w:rPr>
          <w:szCs w:val="20"/>
        </w:rPr>
        <w:t xml:space="preserve">Telephone number(s): </w:t>
      </w:r>
      <w:r w:rsidR="00F6432F" w:rsidRPr="00F6432F">
        <w:rPr>
          <w:b/>
        </w:rPr>
        <w:t>Redacted</w:t>
      </w:r>
    </w:p>
    <w:p w:rsidR="00CA0DB0" w:rsidRDefault="00CA0DB0" w:rsidP="00ED60E2">
      <w:pPr>
        <w:ind w:firstLine="426"/>
        <w:rPr>
          <w:szCs w:val="20"/>
        </w:rPr>
      </w:pPr>
      <w:r>
        <w:rPr>
          <w:szCs w:val="20"/>
        </w:rPr>
        <w:t>Email address</w:t>
      </w:r>
      <w:r w:rsidR="00283ACD">
        <w:rPr>
          <w:szCs w:val="20"/>
        </w:rPr>
        <w:t>es</w:t>
      </w:r>
      <w:r>
        <w:rPr>
          <w:szCs w:val="20"/>
        </w:rPr>
        <w:t xml:space="preserve">: </w:t>
      </w:r>
      <w:r w:rsidR="00F6432F" w:rsidRPr="00F6432F">
        <w:rPr>
          <w:b/>
          <w:szCs w:val="20"/>
        </w:rPr>
        <w:t>Redacted</w:t>
      </w:r>
    </w:p>
    <w:p w:rsidR="00F6432F" w:rsidRDefault="00CA0DB0" w:rsidP="00407FE0">
      <w:pPr>
        <w:ind w:left="426"/>
        <w:rPr>
          <w:b/>
          <w:szCs w:val="20"/>
        </w:rPr>
      </w:pPr>
      <w:r>
        <w:rPr>
          <w:szCs w:val="20"/>
        </w:rPr>
        <w:t>Justification of expertise:</w:t>
      </w:r>
      <w:r w:rsidR="00F6432F">
        <w:rPr>
          <w:szCs w:val="20"/>
        </w:rPr>
        <w:t xml:space="preserve"> </w:t>
      </w:r>
      <w:r w:rsidR="00F6432F" w:rsidRPr="00BD0002">
        <w:rPr>
          <w:b/>
          <w:szCs w:val="20"/>
        </w:rPr>
        <w:t>Redacted</w:t>
      </w:r>
    </w:p>
    <w:p w:rsidR="00E66AEB" w:rsidRDefault="00E66AEB" w:rsidP="00407FE0">
      <w:pPr>
        <w:ind w:left="426"/>
        <w:rPr>
          <w:szCs w:val="20"/>
        </w:rPr>
      </w:pPr>
    </w:p>
    <w:p w:rsidR="00F6432F" w:rsidRDefault="00F6432F" w:rsidP="00407FE0">
      <w:pPr>
        <w:ind w:left="426"/>
        <w:rPr>
          <w:szCs w:val="20"/>
        </w:rPr>
      </w:pPr>
    </w:p>
    <w:p w:rsidR="003433D1" w:rsidRPr="00407FE0" w:rsidRDefault="00E82F54" w:rsidP="00407FE0">
      <w:pPr>
        <w:ind w:left="426"/>
        <w:rPr>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r w:rsidR="003433D1">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D65828">
        <w:t xml:space="preserve"> and a high-</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E44F7D" w:rsidRDefault="003D115D" w:rsidP="00E44F7D">
      <w:pPr>
        <w:ind w:left="360"/>
      </w:pPr>
      <w:bookmarkStart w:id="6" w:name="_Hlk507419700"/>
      <w:r>
        <w:t xml:space="preserve">Ovarian </w:t>
      </w:r>
      <w:r w:rsidR="00F30863">
        <w:t>cancer</w:t>
      </w:r>
      <w:r w:rsidR="00E44F7D">
        <w:t xml:space="preserve"> is the </w:t>
      </w:r>
      <w:r w:rsidR="00727966">
        <w:t>eighth</w:t>
      </w:r>
      <w:r w:rsidR="00E44F7D">
        <w:t xml:space="preserve"> most common</w:t>
      </w:r>
      <w:r w:rsidR="00727966">
        <w:t>ly diagnosed</w:t>
      </w:r>
      <w:r w:rsidR="00E44F7D">
        <w:t xml:space="preserve"> type of cancer for women in Australia</w:t>
      </w:r>
      <w:r w:rsidR="00727966">
        <w:t>, with an estimated 1613 new cases in 2018.</w:t>
      </w:r>
      <w:bookmarkEnd w:id="6"/>
      <w:r w:rsidR="00FA2633">
        <w:rPr>
          <w:vertAlign w:val="superscript"/>
        </w:rPr>
        <w:t>1</w:t>
      </w:r>
      <w:r w:rsidR="00D65828">
        <w:t xml:space="preserve"> </w:t>
      </w:r>
      <w:r w:rsidR="00727966">
        <w:t>The</w:t>
      </w:r>
      <w:r w:rsidR="00E44F7D">
        <w:t xml:space="preserve"> 5-year </w:t>
      </w:r>
      <w:r w:rsidR="00727966">
        <w:t>relative survival</w:t>
      </w:r>
      <w:r w:rsidR="00E44F7D">
        <w:t xml:space="preserve"> for </w:t>
      </w:r>
      <w:r w:rsidR="00727966">
        <w:t>women with ovarian cancer in Australia is low at 44.4%</w:t>
      </w:r>
      <w:r w:rsidR="00593B9D">
        <w:t>.</w:t>
      </w:r>
      <w:r w:rsidR="00FA2633">
        <w:rPr>
          <w:vertAlign w:val="superscript"/>
        </w:rPr>
        <w:t>1</w:t>
      </w:r>
      <w:r w:rsidR="00D65828">
        <w:t xml:space="preserve"> </w:t>
      </w:r>
      <w:r w:rsidR="00593B9D">
        <w:t>Ovarian cancer is estimated as</w:t>
      </w:r>
      <w:r w:rsidR="00DC71AD">
        <w:t xml:space="preserve"> the </w:t>
      </w:r>
      <w:r w:rsidR="00DC71AD" w:rsidRPr="00F30863">
        <w:t>6</w:t>
      </w:r>
      <w:r w:rsidR="00DC71AD" w:rsidRPr="00F30863">
        <w:rPr>
          <w:vertAlign w:val="superscript"/>
        </w:rPr>
        <w:t>th</w:t>
      </w:r>
      <w:r w:rsidR="00DC71AD">
        <w:t xml:space="preserve"> highest cause of cancer related deaths for women in Australia</w:t>
      </w:r>
      <w:r w:rsidR="00593B9D">
        <w:t xml:space="preserve"> in 2017, with 1047 deaths</w:t>
      </w:r>
      <w:r w:rsidR="00DC71AD">
        <w:t>.</w:t>
      </w:r>
      <w:r w:rsidR="00FA2633">
        <w:rPr>
          <w:vertAlign w:val="superscript"/>
        </w:rPr>
        <w:t>1</w:t>
      </w:r>
      <w:r w:rsidR="00D65828">
        <w:t xml:space="preserve"> </w:t>
      </w:r>
      <w:r w:rsidR="00593B9D">
        <w:t xml:space="preserve">Among Australian women, ovarian cancer is the eleventh </w:t>
      </w:r>
      <w:r w:rsidR="00FA2633">
        <w:t>highest contributor to fatal burden of disease (18,789 years of life lost).</w:t>
      </w:r>
      <w:r w:rsidR="00FA2633">
        <w:rPr>
          <w:vertAlign w:val="superscript"/>
        </w:rPr>
        <w:t>2</w:t>
      </w:r>
      <w:r w:rsidR="00DC71AD">
        <w:t xml:space="preserve"> </w:t>
      </w:r>
    </w:p>
    <w:p w:rsidR="007D08F6" w:rsidRDefault="00DF6755" w:rsidP="007D08F6">
      <w:pPr>
        <w:ind w:left="360"/>
      </w:pPr>
      <w:r>
        <w:t xml:space="preserve">The most common and most aggressive histological subtype </w:t>
      </w:r>
      <w:r w:rsidR="008B4C64">
        <w:t xml:space="preserve">of ovarian cancer </w:t>
      </w:r>
      <w:r>
        <w:t>is high-grade serous ovarian cancer (HGSO</w:t>
      </w:r>
      <w:r w:rsidR="00D65828">
        <w:t xml:space="preserve">C). Cancer of the </w:t>
      </w:r>
      <w:r w:rsidR="004D316A">
        <w:t>f</w:t>
      </w:r>
      <w:r w:rsidR="003D115D">
        <w:t>allopian tube</w:t>
      </w:r>
      <w:r w:rsidR="00D65828">
        <w:t>s</w:t>
      </w:r>
      <w:r w:rsidR="003D115D">
        <w:t xml:space="preserve"> or primary peritoneal cancer </w:t>
      </w:r>
      <w:r w:rsidR="00D65828">
        <w:t xml:space="preserve">also frequently shows similar serous features and is usually treated </w:t>
      </w:r>
      <w:r w:rsidR="00E42720">
        <w:t>as for ovarian cancer</w:t>
      </w:r>
      <w:r w:rsidR="00D65828">
        <w:t xml:space="preserve">.  </w:t>
      </w:r>
      <w:r w:rsidR="00E42720">
        <w:t xml:space="preserve">In </w:t>
      </w:r>
      <w:r w:rsidR="004D316A">
        <w:t>S</w:t>
      </w:r>
      <w:r w:rsidR="00E42720">
        <w:t>tudy</w:t>
      </w:r>
      <w:r w:rsidR="004D316A">
        <w:t xml:space="preserve"> 19</w:t>
      </w:r>
      <w:r w:rsidR="00E42720">
        <w:rPr>
          <w:vertAlign w:val="superscript"/>
        </w:rPr>
        <w:t>3</w:t>
      </w:r>
      <w:r w:rsidR="00E42720">
        <w:t xml:space="preserve"> </w:t>
      </w:r>
      <w:r w:rsidR="004D316A">
        <w:t>86% of the study population comprised primary ovaria</w:t>
      </w:r>
      <w:r w:rsidR="00A750B2">
        <w:t xml:space="preserve">n cancer </w:t>
      </w:r>
      <w:r w:rsidR="004D316A">
        <w:t xml:space="preserve">and </w:t>
      </w:r>
      <w:r w:rsidR="00A750B2">
        <w:t>patients with primary fallopian tube or primary peritoneal cancer comprised</w:t>
      </w:r>
      <w:r w:rsidR="00E42720">
        <w:t xml:space="preserve"> </w:t>
      </w:r>
      <w:r w:rsidR="00A750B2">
        <w:t xml:space="preserve">3 and 11%, respectively. </w:t>
      </w:r>
      <w:r w:rsidR="00E42720">
        <w:t xml:space="preserve"> </w:t>
      </w:r>
      <w:r>
        <w:t>HGSOC is difficult to diagnose in its early stages as there are no effective tests for early detection, and symptoms tend to be vague and non-specific (e.g. bloating, fatigue and ab</w:t>
      </w:r>
      <w:r w:rsidR="00962C76">
        <w:t xml:space="preserve">dominal pain).  Consequently, </w:t>
      </w:r>
      <w:r>
        <w:t xml:space="preserve">the majority of women are diagnosed when their disease is advanced and widespread.  </w:t>
      </w:r>
      <w:r w:rsidR="00C904CB">
        <w:t xml:space="preserve">Most women diagnosed with ovarian cancer are treated with primary tumour </w:t>
      </w:r>
      <w:proofErr w:type="spellStart"/>
      <w:r w:rsidR="00C904CB">
        <w:t>debulking</w:t>
      </w:r>
      <w:proofErr w:type="spellEnd"/>
      <w:r w:rsidR="00C904CB">
        <w:t xml:space="preserve"> surgery</w:t>
      </w:r>
      <w:r w:rsidR="007D08F6">
        <w:t xml:space="preserve"> (</w:t>
      </w:r>
      <w:proofErr w:type="spellStart"/>
      <w:r w:rsidR="007D08F6">
        <w:t>cytoreduction</w:t>
      </w:r>
      <w:proofErr w:type="spellEnd"/>
      <w:r w:rsidR="007D08F6">
        <w:t>)</w:t>
      </w:r>
      <w:r w:rsidR="00C904CB">
        <w:t>, followed by chemotherapy with the aim of eliminating detectable disease.</w:t>
      </w:r>
      <w:r w:rsidR="00A750B2">
        <w:rPr>
          <w:vertAlign w:val="superscript"/>
        </w:rPr>
        <w:t>4</w:t>
      </w:r>
      <w:r w:rsidR="00C904CB">
        <w:t xml:space="preserve"> Depending on the recommendations of the </w:t>
      </w:r>
      <w:r w:rsidR="007D08F6">
        <w:t xml:space="preserve">local multidisciplinary team, the patient may also receive </w:t>
      </w:r>
      <w:r w:rsidR="00C904CB">
        <w:t>neo-adjuvant chemotherapy prior to</w:t>
      </w:r>
      <w:r w:rsidR="007D08F6">
        <w:t xml:space="preserve"> surgery.  Primary </w:t>
      </w:r>
      <w:proofErr w:type="spellStart"/>
      <w:r w:rsidR="007D08F6">
        <w:t>cytoreduction</w:t>
      </w:r>
      <w:proofErr w:type="spellEnd"/>
      <w:r w:rsidR="007D08F6">
        <w:t xml:space="preserve"> </w:t>
      </w:r>
      <w:r w:rsidR="00C904CB">
        <w:t xml:space="preserve">aims to </w:t>
      </w:r>
      <w:r w:rsidR="007D08F6">
        <w:t xml:space="preserve">remove as much of the tumour as </w:t>
      </w:r>
      <w:r w:rsidR="00C904CB">
        <w:t xml:space="preserve">possible, to allow adjuvant treatment to be more effective. </w:t>
      </w:r>
      <w:r w:rsidR="007D08F6">
        <w:t xml:space="preserve"> </w:t>
      </w:r>
    </w:p>
    <w:p w:rsidR="00C5338B" w:rsidRDefault="00993295" w:rsidP="00D4285B">
      <w:pPr>
        <w:ind w:left="360"/>
      </w:pPr>
      <w:r>
        <w:t>Standard first line treatment of advanced ovarian cancer is platinum-based chemotherapy.</w:t>
      </w:r>
      <w:r w:rsidR="00A750B2">
        <w:rPr>
          <w:vertAlign w:val="superscript"/>
        </w:rPr>
        <w:t>4</w:t>
      </w:r>
      <w:r>
        <w:rPr>
          <w:vertAlign w:val="superscript"/>
        </w:rPr>
        <w:t xml:space="preserve"> </w:t>
      </w:r>
      <w:r w:rsidR="00D4285B">
        <w:t>O</w:t>
      </w:r>
      <w:r w:rsidR="00C904CB">
        <w:t>varian cancer (EOC) is a highly chemo</w:t>
      </w:r>
      <w:r w:rsidR="00F378AA">
        <w:t>-</w:t>
      </w:r>
      <w:r w:rsidR="00C904CB">
        <w:t>sensitive tumour, b</w:t>
      </w:r>
      <w:r w:rsidR="00D4285B">
        <w:t xml:space="preserve">ut more than 70% of women with advanced disease </w:t>
      </w:r>
      <w:r w:rsidR="00C904CB">
        <w:t>initially</w:t>
      </w:r>
      <w:r w:rsidR="00D4285B">
        <w:t xml:space="preserve"> </w:t>
      </w:r>
      <w:r w:rsidR="00C904CB">
        <w:t>responding to first-line chemoth</w:t>
      </w:r>
      <w:r w:rsidR="00D4285B">
        <w:t xml:space="preserve">erapy will </w:t>
      </w:r>
      <w:r w:rsidR="00734E13">
        <w:t>relapse and require re-treatment within the first three years of diagnos</w:t>
      </w:r>
      <w:r w:rsidR="00D4285B">
        <w:t>is.</w:t>
      </w:r>
      <w:r w:rsidR="00A750B2">
        <w:rPr>
          <w:vertAlign w:val="superscript"/>
        </w:rPr>
        <w:t>5</w:t>
      </w:r>
      <w:r w:rsidR="00D4285B">
        <w:t xml:space="preserve">  Subsequent t</w:t>
      </w:r>
      <w:r w:rsidR="00734E13">
        <w:t>reatment options for patients with relapse</w:t>
      </w:r>
      <w:r w:rsidR="00D4285B">
        <w:t>d HGSOC involve</w:t>
      </w:r>
      <w:r w:rsidR="00734E13">
        <w:t xml:space="preserve"> repeat courses of platinum-based chemotherapy, with ever-decreasing treatment-free (remission) intervals.</w:t>
      </w:r>
    </w:p>
    <w:p w:rsidR="001D5893" w:rsidRDefault="00321A44" w:rsidP="00F378AA">
      <w:pPr>
        <w:ind w:left="360"/>
      </w:pPr>
      <w:r>
        <w:t>BRCA1 and BRCA2 mutational loss of function is a primary driver of ovarian cancer.</w:t>
      </w:r>
      <w:r w:rsidR="005F6508">
        <w:t xml:space="preserve">  The high grade serous ovarian cancer population is enriched for patients with BRCA1/2 germline and somatic mutations, in comparison to all ovarian cancer patients.  In HGSOC patients </w:t>
      </w:r>
      <w:r w:rsidR="00F378AA">
        <w:t xml:space="preserve">with </w:t>
      </w:r>
      <w:r w:rsidR="005F6508">
        <w:t xml:space="preserve">BRCA1/2 </w:t>
      </w:r>
      <w:r w:rsidR="00F378AA">
        <w:t xml:space="preserve">gene </w:t>
      </w:r>
      <w:r w:rsidR="005F6508">
        <w:t>mutations comprise up to 25% of patients</w:t>
      </w:r>
      <w:proofErr w:type="gramStart"/>
      <w:r w:rsidR="005F6508">
        <w:t>,</w:t>
      </w:r>
      <w:r w:rsidR="00A750B2">
        <w:rPr>
          <w:vertAlign w:val="superscript"/>
        </w:rPr>
        <w:t>6</w:t>
      </w:r>
      <w:proofErr w:type="gramEnd"/>
      <w:r w:rsidR="005F6508">
        <w:t xml:space="preserve"> with somatic BRCA1/2 mutati</w:t>
      </w:r>
      <w:r w:rsidR="006A1175">
        <w:t>ons representing up to 30%</w:t>
      </w:r>
      <w:r w:rsidR="005F6508">
        <w:t xml:space="preserve"> of all </w:t>
      </w:r>
      <w:r w:rsidR="001D5893">
        <w:t>BRCA1/2 mutations.</w:t>
      </w:r>
      <w:r w:rsidR="00A750B2">
        <w:rPr>
          <w:vertAlign w:val="superscript"/>
        </w:rPr>
        <w:t>7</w:t>
      </w:r>
      <w:r w:rsidR="002141C1">
        <w:t xml:space="preserve"> Germline/somatic BRCA mutated ovarian cancers are associated with an improved response to platinum based chemotherap</w:t>
      </w:r>
      <w:r w:rsidR="00593B9D">
        <w:t>y (standard of care) and longer-</w:t>
      </w:r>
      <w:r w:rsidR="002141C1">
        <w:t xml:space="preserve">term prognosis </w:t>
      </w:r>
      <w:r w:rsidR="001F69B5">
        <w:t xml:space="preserve">than non-BRCA-associated ovarian cancers. </w:t>
      </w:r>
      <w:r w:rsidR="00DC71AD">
        <w:t xml:space="preserve">Identification of BRCA- mutated ovarian cancer is </w:t>
      </w:r>
      <w:r w:rsidR="002141C1">
        <w:t>important to identify those at further cancer risk</w:t>
      </w:r>
      <w:r w:rsidR="003A54F3">
        <w:t>, at-risk family members and</w:t>
      </w:r>
      <w:r w:rsidR="002141C1">
        <w:t xml:space="preserve"> to plan individual treatment decisions.</w:t>
      </w:r>
    </w:p>
    <w:p w:rsidR="00FA2633" w:rsidRPr="00F378AA" w:rsidRDefault="00FA2633" w:rsidP="00C5338B">
      <w:pPr>
        <w:ind w:left="360"/>
        <w:rPr>
          <w:sz w:val="16"/>
          <w:szCs w:val="16"/>
        </w:rPr>
      </w:pPr>
      <w:proofErr w:type="gramStart"/>
      <w:r w:rsidRPr="00F378AA">
        <w:rPr>
          <w:sz w:val="16"/>
          <w:szCs w:val="16"/>
          <w:vertAlign w:val="superscript"/>
        </w:rPr>
        <w:t>1</w:t>
      </w:r>
      <w:r w:rsidRPr="00F378AA">
        <w:rPr>
          <w:sz w:val="16"/>
          <w:szCs w:val="16"/>
        </w:rPr>
        <w:t>Australian Institute of Health and Welfare Cancer in Australia 2017.</w:t>
      </w:r>
      <w:proofErr w:type="gramEnd"/>
    </w:p>
    <w:p w:rsidR="00962C76" w:rsidRDefault="00962C76" w:rsidP="00C5338B">
      <w:pPr>
        <w:ind w:left="360"/>
        <w:rPr>
          <w:sz w:val="16"/>
          <w:szCs w:val="16"/>
        </w:rPr>
      </w:pPr>
      <w:proofErr w:type="gramStart"/>
      <w:r w:rsidRPr="00F378AA">
        <w:rPr>
          <w:sz w:val="16"/>
          <w:szCs w:val="16"/>
          <w:vertAlign w:val="superscript"/>
        </w:rPr>
        <w:t>2</w:t>
      </w:r>
      <w:r w:rsidRPr="00F378AA">
        <w:rPr>
          <w:sz w:val="16"/>
          <w:szCs w:val="16"/>
        </w:rPr>
        <w:t>Australian Institute of Health and Welfare Australian Burden of Disease Study 2011.</w:t>
      </w:r>
      <w:proofErr w:type="gramEnd"/>
    </w:p>
    <w:p w:rsidR="00A750B2" w:rsidRPr="00A750B2" w:rsidRDefault="00A750B2" w:rsidP="00C5338B">
      <w:pPr>
        <w:ind w:left="360"/>
        <w:rPr>
          <w:sz w:val="16"/>
          <w:szCs w:val="16"/>
        </w:rPr>
      </w:pPr>
      <w:proofErr w:type="gramStart"/>
      <w:r>
        <w:rPr>
          <w:sz w:val="16"/>
          <w:szCs w:val="16"/>
          <w:vertAlign w:val="superscript"/>
        </w:rPr>
        <w:t>3</w:t>
      </w:r>
      <w:r>
        <w:rPr>
          <w:sz w:val="16"/>
          <w:szCs w:val="16"/>
        </w:rPr>
        <w:t xml:space="preserve">Lederman J, Harter P, </w:t>
      </w:r>
      <w:proofErr w:type="spellStart"/>
      <w:r>
        <w:rPr>
          <w:sz w:val="16"/>
          <w:szCs w:val="16"/>
        </w:rPr>
        <w:t>Gourley</w:t>
      </w:r>
      <w:proofErr w:type="spellEnd"/>
      <w:r>
        <w:rPr>
          <w:sz w:val="16"/>
          <w:szCs w:val="16"/>
        </w:rPr>
        <w:t xml:space="preserve"> C, Friedlander M, et.al.</w:t>
      </w:r>
      <w:proofErr w:type="gramEnd"/>
      <w:r>
        <w:rPr>
          <w:sz w:val="16"/>
          <w:szCs w:val="16"/>
        </w:rPr>
        <w:t xml:space="preserve"> New England Journal of Medicine, 2012, </w:t>
      </w:r>
      <w:r w:rsidRPr="00A750B2">
        <w:rPr>
          <w:b/>
          <w:sz w:val="16"/>
          <w:szCs w:val="16"/>
        </w:rPr>
        <w:t>366</w:t>
      </w:r>
      <w:r>
        <w:rPr>
          <w:sz w:val="16"/>
          <w:szCs w:val="16"/>
        </w:rPr>
        <w:t>:1382-92.</w:t>
      </w:r>
    </w:p>
    <w:p w:rsidR="00F378AA" w:rsidRPr="00F378AA" w:rsidRDefault="00A750B2" w:rsidP="00F378AA">
      <w:pPr>
        <w:ind w:left="360"/>
        <w:rPr>
          <w:sz w:val="16"/>
          <w:szCs w:val="16"/>
        </w:rPr>
      </w:pPr>
      <w:proofErr w:type="gramStart"/>
      <w:r>
        <w:rPr>
          <w:sz w:val="16"/>
          <w:szCs w:val="16"/>
          <w:vertAlign w:val="superscript"/>
        </w:rPr>
        <w:t>4</w:t>
      </w:r>
      <w:r w:rsidR="0000396A" w:rsidRPr="00F378AA">
        <w:rPr>
          <w:sz w:val="16"/>
          <w:szCs w:val="16"/>
        </w:rPr>
        <w:t>Cancer Australia 2014 First line chemotherapy for the treatment of women with epithelial ovarian cancer.</w:t>
      </w:r>
      <w:proofErr w:type="gramEnd"/>
      <w:r w:rsidR="0000396A" w:rsidRPr="00F378AA">
        <w:rPr>
          <w:sz w:val="16"/>
          <w:szCs w:val="16"/>
        </w:rPr>
        <w:t xml:space="preserve"> (</w:t>
      </w:r>
      <w:hyperlink r:id="rId46" w:tooltip="Link to Cancer Australia article" w:history="1">
        <w:r w:rsidR="00F378AA" w:rsidRPr="00F378AA">
          <w:rPr>
            <w:rStyle w:val="Hyperlink"/>
            <w:sz w:val="16"/>
            <w:szCs w:val="16"/>
          </w:rPr>
          <w:t>https://canceraustralia.gov.au/publications-and-resources/clinical-practice-guidelines/first-line-chemotherapy-treatment-women-epithelial-ovarian-cancer</w:t>
        </w:r>
      </w:hyperlink>
      <w:r w:rsidR="00F378AA" w:rsidRPr="00F378AA">
        <w:rPr>
          <w:sz w:val="16"/>
          <w:szCs w:val="16"/>
        </w:rPr>
        <w:t>)</w:t>
      </w:r>
    </w:p>
    <w:p w:rsidR="00962C76" w:rsidRPr="00F378AA" w:rsidRDefault="00A750B2" w:rsidP="00C5338B">
      <w:pPr>
        <w:ind w:left="360"/>
        <w:rPr>
          <w:sz w:val="16"/>
          <w:szCs w:val="16"/>
        </w:rPr>
      </w:pPr>
      <w:proofErr w:type="gramStart"/>
      <w:r>
        <w:rPr>
          <w:sz w:val="16"/>
          <w:szCs w:val="16"/>
          <w:vertAlign w:val="superscript"/>
        </w:rPr>
        <w:t>5</w:t>
      </w:r>
      <w:r w:rsidR="00D940AE" w:rsidRPr="00F378AA">
        <w:rPr>
          <w:sz w:val="16"/>
          <w:szCs w:val="16"/>
        </w:rPr>
        <w:t xml:space="preserve">Lederman JA, Raja FA, </w:t>
      </w:r>
      <w:proofErr w:type="spellStart"/>
      <w:r w:rsidR="00D940AE" w:rsidRPr="00F378AA">
        <w:rPr>
          <w:sz w:val="16"/>
          <w:szCs w:val="16"/>
        </w:rPr>
        <w:t>Fotopoulou</w:t>
      </w:r>
      <w:proofErr w:type="spellEnd"/>
      <w:r w:rsidR="00D940AE" w:rsidRPr="00F378AA">
        <w:rPr>
          <w:sz w:val="16"/>
          <w:szCs w:val="16"/>
        </w:rPr>
        <w:t xml:space="preserve"> C, Gonzalez-Martin A, et.al.</w:t>
      </w:r>
      <w:proofErr w:type="gramEnd"/>
      <w:r w:rsidR="00D940AE" w:rsidRPr="00F378AA">
        <w:rPr>
          <w:sz w:val="16"/>
          <w:szCs w:val="16"/>
        </w:rPr>
        <w:t xml:space="preserve"> Newly diagnosed and relapsed epithelial ovarian carcinoma: ESMO Clinical Practice Guidelines for diagnosis, treatment and follow-up. </w:t>
      </w:r>
      <w:r w:rsidR="00D940AE" w:rsidRPr="00F378AA">
        <w:rPr>
          <w:i/>
          <w:sz w:val="16"/>
          <w:szCs w:val="16"/>
        </w:rPr>
        <w:t>Annals of Oncology</w:t>
      </w:r>
      <w:r w:rsidR="00D940AE" w:rsidRPr="00F378AA">
        <w:rPr>
          <w:sz w:val="16"/>
          <w:szCs w:val="16"/>
        </w:rPr>
        <w:t xml:space="preserve">, 2013, </w:t>
      </w:r>
      <w:r w:rsidR="00D940AE" w:rsidRPr="00F378AA">
        <w:rPr>
          <w:b/>
          <w:sz w:val="16"/>
          <w:szCs w:val="16"/>
        </w:rPr>
        <w:t>24</w:t>
      </w:r>
      <w:r w:rsidR="00D940AE" w:rsidRPr="00F378AA">
        <w:rPr>
          <w:sz w:val="16"/>
          <w:szCs w:val="16"/>
        </w:rPr>
        <w:t>(Supplement</w:t>
      </w:r>
      <w:r w:rsidR="0000396A" w:rsidRPr="00F378AA">
        <w:rPr>
          <w:sz w:val="16"/>
          <w:szCs w:val="16"/>
        </w:rPr>
        <w:t xml:space="preserve"> 6):vi24-32.</w:t>
      </w:r>
    </w:p>
    <w:p w:rsidR="001D5893" w:rsidRDefault="00A750B2" w:rsidP="00F378AA">
      <w:pPr>
        <w:ind w:left="360"/>
        <w:rPr>
          <w:sz w:val="16"/>
          <w:szCs w:val="16"/>
        </w:rPr>
      </w:pPr>
      <w:proofErr w:type="gramStart"/>
      <w:r>
        <w:rPr>
          <w:sz w:val="16"/>
          <w:szCs w:val="16"/>
          <w:vertAlign w:val="superscript"/>
        </w:rPr>
        <w:t>6</w:t>
      </w:r>
      <w:r w:rsidR="001D5893" w:rsidRPr="00E44F7D">
        <w:rPr>
          <w:sz w:val="16"/>
          <w:szCs w:val="16"/>
        </w:rPr>
        <w:t>Pennington KP, Walsh T, Harrell MI, Lee MK, et.al.</w:t>
      </w:r>
      <w:proofErr w:type="gramEnd"/>
      <w:r w:rsidR="001D5893" w:rsidRPr="00E44F7D">
        <w:rPr>
          <w:sz w:val="16"/>
          <w:szCs w:val="16"/>
        </w:rPr>
        <w:t xml:space="preserve"> Germline and somatic mutations in homologous recombination genes predict platinum response and survival in </w:t>
      </w:r>
      <w:r w:rsidR="00BB6C9E" w:rsidRPr="00E44F7D">
        <w:rPr>
          <w:sz w:val="16"/>
          <w:szCs w:val="16"/>
        </w:rPr>
        <w:t xml:space="preserve">ovarian, fallopian tube and peritoneal carcinomas. </w:t>
      </w:r>
      <w:r>
        <w:rPr>
          <w:i/>
          <w:sz w:val="16"/>
          <w:szCs w:val="16"/>
        </w:rPr>
        <w:t>Clinical</w:t>
      </w:r>
      <w:r w:rsidR="00BB6C9E" w:rsidRPr="00E44F7D">
        <w:rPr>
          <w:i/>
          <w:sz w:val="16"/>
          <w:szCs w:val="16"/>
        </w:rPr>
        <w:t xml:space="preserve"> Cancer Research</w:t>
      </w:r>
      <w:r w:rsidR="00BB6C9E" w:rsidRPr="00E44F7D">
        <w:rPr>
          <w:sz w:val="16"/>
          <w:szCs w:val="16"/>
        </w:rPr>
        <w:t xml:space="preserve">, 2014, </w:t>
      </w:r>
      <w:r w:rsidR="00BB6C9E" w:rsidRPr="00A750B2">
        <w:rPr>
          <w:b/>
          <w:sz w:val="16"/>
          <w:szCs w:val="16"/>
        </w:rPr>
        <w:t>20</w:t>
      </w:r>
      <w:r w:rsidR="00BB6C9E" w:rsidRPr="00E44F7D">
        <w:rPr>
          <w:sz w:val="16"/>
          <w:szCs w:val="16"/>
        </w:rPr>
        <w:t>:</w:t>
      </w:r>
      <w:r w:rsidR="00182113" w:rsidRPr="00E44F7D">
        <w:rPr>
          <w:sz w:val="16"/>
          <w:szCs w:val="16"/>
        </w:rPr>
        <w:t>764-775</w:t>
      </w:r>
      <w:r w:rsidR="00E44F7D" w:rsidRPr="00E44F7D">
        <w:rPr>
          <w:sz w:val="16"/>
          <w:szCs w:val="16"/>
        </w:rPr>
        <w:t>.</w:t>
      </w:r>
    </w:p>
    <w:p w:rsidR="00E54CA8" w:rsidRPr="00E54CA8" w:rsidRDefault="00A750B2" w:rsidP="00F378AA">
      <w:pPr>
        <w:ind w:left="360"/>
        <w:rPr>
          <w:sz w:val="16"/>
          <w:szCs w:val="16"/>
        </w:rPr>
      </w:pPr>
      <w:proofErr w:type="gramStart"/>
      <w:r>
        <w:rPr>
          <w:sz w:val="16"/>
          <w:szCs w:val="16"/>
          <w:vertAlign w:val="superscript"/>
        </w:rPr>
        <w:t>7</w:t>
      </w:r>
      <w:r w:rsidR="00CD1B8C">
        <w:rPr>
          <w:sz w:val="16"/>
          <w:szCs w:val="16"/>
        </w:rPr>
        <w:t>Dougherty BA, Lai Z, Hodgson DR, Orr MCM, et.al.</w:t>
      </w:r>
      <w:proofErr w:type="gramEnd"/>
      <w:r w:rsidR="00CD1B8C">
        <w:rPr>
          <w:sz w:val="16"/>
          <w:szCs w:val="16"/>
        </w:rPr>
        <w:t xml:space="preserve"> </w:t>
      </w:r>
      <w:proofErr w:type="gramStart"/>
      <w:r w:rsidR="00CD1B8C">
        <w:rPr>
          <w:sz w:val="16"/>
          <w:szCs w:val="16"/>
        </w:rPr>
        <w:t xml:space="preserve">Biological and clinical evidence for somatic mutations in BRCA1/2 as predictive markers for </w:t>
      </w:r>
      <w:proofErr w:type="spellStart"/>
      <w:r w:rsidR="00CD1B8C">
        <w:rPr>
          <w:sz w:val="16"/>
          <w:szCs w:val="16"/>
        </w:rPr>
        <w:t>olaparib</w:t>
      </w:r>
      <w:proofErr w:type="spellEnd"/>
      <w:r w:rsidR="00CD1B8C">
        <w:rPr>
          <w:sz w:val="16"/>
          <w:szCs w:val="16"/>
        </w:rPr>
        <w:t xml:space="preserve"> response in high grade serous ovarian cancers in the maintenance setting.</w:t>
      </w:r>
      <w:proofErr w:type="gramEnd"/>
      <w:r w:rsidR="00CD1B8C">
        <w:rPr>
          <w:sz w:val="16"/>
          <w:szCs w:val="16"/>
        </w:rPr>
        <w:t xml:space="preserve"> </w:t>
      </w:r>
      <w:proofErr w:type="spellStart"/>
      <w:r w:rsidR="00CD1B8C" w:rsidRPr="00A750B2">
        <w:rPr>
          <w:i/>
          <w:sz w:val="16"/>
          <w:szCs w:val="16"/>
        </w:rPr>
        <w:t>Oncotarget</w:t>
      </w:r>
      <w:proofErr w:type="spellEnd"/>
      <w:r w:rsidR="00CD1B8C">
        <w:rPr>
          <w:sz w:val="16"/>
          <w:szCs w:val="16"/>
        </w:rPr>
        <w:t xml:space="preserve">, 2017, </w:t>
      </w:r>
      <w:r w:rsidR="00CD1B8C" w:rsidRPr="00A750B2">
        <w:rPr>
          <w:b/>
          <w:sz w:val="16"/>
          <w:szCs w:val="16"/>
        </w:rPr>
        <w:t>8</w:t>
      </w:r>
      <w:r w:rsidR="00CD1B8C">
        <w:rPr>
          <w:sz w:val="16"/>
          <w:szCs w:val="16"/>
        </w:rPr>
        <w:t>(27):43653-43661.</w:t>
      </w:r>
    </w:p>
    <w:p w:rsidR="00AA5FDA" w:rsidRPr="00154B00" w:rsidRDefault="00AA5FDA" w:rsidP="00530204">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6A361E" w:rsidRDefault="00BE285F" w:rsidP="00E357B9">
      <w:pPr>
        <w:ind w:left="426"/>
      </w:pPr>
      <w:r>
        <w:t>Germline BRCA1/2 t</w:t>
      </w:r>
      <w:r w:rsidR="0042165D">
        <w:t>e</w:t>
      </w:r>
      <w:r>
        <w:t xml:space="preserve">sting </w:t>
      </w:r>
      <w:r w:rsidR="0042165D">
        <w:t xml:space="preserve">to determine eligibility for </w:t>
      </w:r>
      <w:proofErr w:type="spellStart"/>
      <w:r w:rsidR="0042165D">
        <w:t>olaparib</w:t>
      </w:r>
      <w:proofErr w:type="spellEnd"/>
      <w:r w:rsidR="0042165D">
        <w:t xml:space="preserve"> maintenance therapy in patients with platinum sensitive, relapsed high grade serous ovarian cancer </w:t>
      </w:r>
      <w:r w:rsidR="00040984">
        <w:t xml:space="preserve">(HGSOC) has been listed on the MBS (Item </w:t>
      </w:r>
      <w:r w:rsidR="00295C85">
        <w:t>73295</w:t>
      </w:r>
      <w:r w:rsidR="00040984">
        <w:t xml:space="preserve">) and PBS </w:t>
      </w:r>
      <w:r w:rsidR="00BF3D30">
        <w:t xml:space="preserve">(Items 11034R and 11050N) </w:t>
      </w:r>
      <w:r w:rsidR="00040984">
        <w:t xml:space="preserve">since 1 February 2017 (refer </w:t>
      </w:r>
      <w:r w:rsidR="00BF3D30">
        <w:t xml:space="preserve">co-dependent MSAC/PBAC </w:t>
      </w:r>
      <w:r w:rsidR="00040984">
        <w:t>Application 1380).</w:t>
      </w:r>
    </w:p>
    <w:p w:rsidR="00BF3D30" w:rsidRDefault="00790589" w:rsidP="00E357B9">
      <w:pPr>
        <w:ind w:left="426"/>
      </w:pPr>
      <w:r>
        <w:t xml:space="preserve">Subsequently </w:t>
      </w:r>
      <w:r w:rsidR="00C12A96">
        <w:t xml:space="preserve">germline </w:t>
      </w:r>
      <w:r w:rsidR="00A50AEF">
        <w:t>gene</w:t>
      </w:r>
      <w:r w:rsidR="00C12A96">
        <w:t xml:space="preserve"> mutation testing, including BRCA1/2 testing in ovarian cancer patients at &gt;10% risk of having a pathogenic mutation identified</w:t>
      </w:r>
      <w:r w:rsidR="00542506">
        <w:t>,</w:t>
      </w:r>
      <w:r w:rsidR="00C12A96">
        <w:t xml:space="preserve"> became available on the MBS from </w:t>
      </w:r>
      <w:r w:rsidR="00E54385">
        <w:t>November</w:t>
      </w:r>
      <w:r w:rsidR="00542506">
        <w:t xml:space="preserve"> 2017 (Item 73296).  Germline BRCA1/2 gene mutation testing </w:t>
      </w:r>
      <w:r w:rsidR="001A3B8D">
        <w:t>(Item 73297) is</w:t>
      </w:r>
      <w:r w:rsidR="00542506">
        <w:t xml:space="preserve"> also available to biological relatives of patients who </w:t>
      </w:r>
      <w:r w:rsidR="001A3B8D">
        <w:t xml:space="preserve">have pathogenic mutations identified according to Item 73296.  </w:t>
      </w:r>
      <w:r w:rsidR="00E2329F">
        <w:t>Ovarian cancer patients may qualify for B</w:t>
      </w:r>
      <w:r w:rsidR="00733D11">
        <w:t>RCA1/2 testing under Item 73296</w:t>
      </w:r>
      <w:r w:rsidR="00E2329F">
        <w:t xml:space="preserve"> </w:t>
      </w:r>
      <w:r w:rsidR="00733D11">
        <w:t xml:space="preserve">&amp; 73297 </w:t>
      </w:r>
      <w:r w:rsidR="00E2329F">
        <w:t xml:space="preserve">at the time of ovarian cancer diagnosis.  </w:t>
      </w:r>
      <w:r w:rsidR="00733D11">
        <w:t>Although the listings are</w:t>
      </w:r>
      <w:r w:rsidR="001A3B8D">
        <w:t xml:space="preserve"> much broader and include </w:t>
      </w:r>
      <w:r w:rsidR="00E2329F">
        <w:t xml:space="preserve">testing in </w:t>
      </w:r>
      <w:r w:rsidR="001A3B8D">
        <w:t>bre</w:t>
      </w:r>
      <w:r w:rsidR="00E2329F">
        <w:t>a</w:t>
      </w:r>
      <w:r w:rsidR="001A3B8D">
        <w:t>st cancer</w:t>
      </w:r>
      <w:r w:rsidR="00E2329F">
        <w:t xml:space="preserve"> patients, t</w:t>
      </w:r>
      <w:r w:rsidR="001A3B8D">
        <w:t xml:space="preserve">he utilisation of services for </w:t>
      </w:r>
      <w:r w:rsidR="00E2329F">
        <w:t xml:space="preserve">MBS </w:t>
      </w:r>
      <w:r w:rsidR="001A3B8D">
        <w:t xml:space="preserve">Items 73296&amp;7 in the first few months of listing has </w:t>
      </w:r>
      <w:r w:rsidR="00E2329F">
        <w:t xml:space="preserve">already </w:t>
      </w:r>
      <w:r w:rsidR="001A3B8D">
        <w:t xml:space="preserve">substantially exceeded the </w:t>
      </w:r>
      <w:r w:rsidR="00E2329F">
        <w:t>utilisati</w:t>
      </w:r>
      <w:r w:rsidR="00295C85">
        <w:t>on of services under Item 73295</w:t>
      </w:r>
      <w:r w:rsidR="00E2329F">
        <w:t xml:space="preserve"> during the entire first year of MBS listing.  Consequently</w:t>
      </w:r>
      <w:r>
        <w:t>,</w:t>
      </w:r>
      <w:r w:rsidR="00E2329F">
        <w:t xml:space="preserve"> the germline BRCA1/2 mutation status of </w:t>
      </w:r>
      <w:r w:rsidR="00CD05B6">
        <w:t xml:space="preserve">patients may be known at an earlier stage in disease management and patients with detected mutations can receive genetic counselling services.  This may </w:t>
      </w:r>
      <w:r w:rsidR="00110496">
        <w:t xml:space="preserve">also </w:t>
      </w:r>
      <w:r w:rsidR="00CD05B6">
        <w:t xml:space="preserve">be significantly </w:t>
      </w:r>
      <w:r w:rsidR="00110496">
        <w:t>before</w:t>
      </w:r>
      <w:r w:rsidR="00412F6D">
        <w:t xml:space="preserve"> HGSOC patients relapse </w:t>
      </w:r>
      <w:r w:rsidR="00EE2425">
        <w:t>following treatment with two or more</w:t>
      </w:r>
      <w:r w:rsidR="00412F6D">
        <w:t xml:space="preserve"> lines of platinum based chemotherapy. </w:t>
      </w:r>
    </w:p>
    <w:p w:rsidR="00147BA5" w:rsidRDefault="00147BA5" w:rsidP="00147BA5">
      <w:pPr>
        <w:ind w:left="426"/>
      </w:pPr>
      <w:r>
        <w:t xml:space="preserve">At the time of MSAC first consideration of Application 1380 in March 2016, the MSAC recognised that germline BRCA1/2 testing would not identify all women who could benefit from </w:t>
      </w:r>
      <w:proofErr w:type="spellStart"/>
      <w:r>
        <w:t>olaparib</w:t>
      </w:r>
      <w:proofErr w:type="spellEnd"/>
      <w:r>
        <w:t xml:space="preserve"> therapy.  The MSAC also noted that </w:t>
      </w:r>
      <w:r w:rsidRPr="00454373">
        <w:rPr>
          <w:i/>
        </w:rPr>
        <w:t xml:space="preserve">“if access to somatic testing was requested in future there may be an incremental cost to the MBS because patients without an identified germline BRCA mutation would need additional tumour testing.” </w:t>
      </w:r>
      <w:r>
        <w:t xml:space="preserve"> </w:t>
      </w:r>
      <w:r w:rsidRPr="00454373">
        <w:rPr>
          <w:i/>
        </w:rPr>
        <w:t>“As such, MSAC would require a new application before considering the addition of somatic BRCA testing to the MBS.”</w:t>
      </w:r>
      <w:r>
        <w:rPr>
          <w:i/>
        </w:rPr>
        <w:t xml:space="preserve"> [Public Summary Document Application 1380 MSAC Consideration March &amp; November 2016]</w:t>
      </w:r>
    </w:p>
    <w:p w:rsidR="00147BA5" w:rsidRDefault="00147BA5" w:rsidP="00147BA5">
      <w:pPr>
        <w:ind w:left="426"/>
      </w:pPr>
      <w:r>
        <w:t>Over two years later germline BRCA1/2 gene mutation testing is established in Australian clinical practice</w:t>
      </w:r>
      <w:r w:rsidR="00535804">
        <w:t xml:space="preserve"> and some Australian laboratories have developed assays for tumour testing to detect somatic BRCA1/2 gene mutations</w:t>
      </w:r>
      <w:r>
        <w:t>.  There have been other significant changes to the local and international tumour BRCA1/2 mutation testing environment and additional outcomes data (published and unpublished) to warrant reconsideration of tumour testing for patients with somatic BRCA1/2 mutations at this time.</w:t>
      </w:r>
    </w:p>
    <w:p w:rsidR="004546F7" w:rsidRPr="00656B4C" w:rsidRDefault="004546F7" w:rsidP="00E357B9">
      <w:pPr>
        <w:ind w:left="426"/>
        <w:rPr>
          <w:i/>
        </w:rPr>
      </w:pPr>
      <w:r w:rsidRPr="00656B4C">
        <w:rPr>
          <w:i/>
        </w:rPr>
        <w:t xml:space="preserve">Proposed patients for </w:t>
      </w:r>
      <w:r w:rsidR="00656B4C">
        <w:rPr>
          <w:i/>
        </w:rPr>
        <w:t xml:space="preserve">tumour </w:t>
      </w:r>
      <w:r w:rsidRPr="00656B4C">
        <w:rPr>
          <w:i/>
        </w:rPr>
        <w:t>testing</w:t>
      </w:r>
    </w:p>
    <w:p w:rsidR="00412F6D" w:rsidRDefault="006A361E" w:rsidP="00D80848">
      <w:pPr>
        <w:ind w:left="426"/>
      </w:pPr>
      <w:r>
        <w:t>T</w:t>
      </w:r>
      <w:r w:rsidR="00040984">
        <w:t xml:space="preserve">umour testing to detect somatic </w:t>
      </w:r>
      <w:r w:rsidR="00412F6D">
        <w:t xml:space="preserve">BRCA1/2 gene </w:t>
      </w:r>
      <w:r w:rsidR="00040984">
        <w:t xml:space="preserve">mutations </w:t>
      </w:r>
      <w:r>
        <w:t xml:space="preserve">is proposed </w:t>
      </w:r>
      <w:r w:rsidR="00267AC8">
        <w:t xml:space="preserve">to be </w:t>
      </w:r>
      <w:r w:rsidR="00267AC8" w:rsidRPr="00DE7576">
        <w:rPr>
          <w:b/>
        </w:rPr>
        <w:t>after</w:t>
      </w:r>
      <w:r w:rsidR="00267AC8">
        <w:t xml:space="preserve"> germline BRCA1/2 testing (whether</w:t>
      </w:r>
      <w:r w:rsidR="00D80848">
        <w:t xml:space="preserve"> this is determined at diagnosis or </w:t>
      </w:r>
      <w:r w:rsidR="00DE7576">
        <w:t>when</w:t>
      </w:r>
      <w:r w:rsidR="00D80848">
        <w:t xml:space="preserve"> patients have been shown to be platinum sensitive and </w:t>
      </w:r>
      <w:r w:rsidR="00DE7576">
        <w:t xml:space="preserve">have </w:t>
      </w:r>
      <w:r w:rsidR="00D80848">
        <w:t>relapse</w:t>
      </w:r>
      <w:r w:rsidR="00DE7576">
        <w:t>d</w:t>
      </w:r>
      <w:r w:rsidR="00733D11">
        <w:t xml:space="preserve">). </w:t>
      </w:r>
      <w:r w:rsidR="00412F6D">
        <w:t xml:space="preserve">There are two populations proposed for </w:t>
      </w:r>
      <w:r w:rsidR="00DA4236">
        <w:t xml:space="preserve">tumour </w:t>
      </w:r>
      <w:r w:rsidR="00412F6D">
        <w:t xml:space="preserve">testing </w:t>
      </w:r>
      <w:r w:rsidR="00DA4236">
        <w:t xml:space="preserve">to detect somatic BRCA1/2 mutations </w:t>
      </w:r>
      <w:r w:rsidR="00412F6D">
        <w:t xml:space="preserve">as follows: </w:t>
      </w:r>
    </w:p>
    <w:p w:rsidR="00AF0510" w:rsidRDefault="00412F6D" w:rsidP="00BA2336">
      <w:pPr>
        <w:pStyle w:val="ListParagraph"/>
        <w:numPr>
          <w:ilvl w:val="0"/>
          <w:numId w:val="41"/>
        </w:numPr>
      </w:pPr>
      <w:r>
        <w:t>Patients</w:t>
      </w:r>
      <w:r w:rsidR="00DA4236">
        <w:t xml:space="preserve"> </w:t>
      </w:r>
      <w:r w:rsidR="00371556">
        <w:t>with platinum</w:t>
      </w:r>
      <w:r w:rsidR="003C7410">
        <w:t>-</w:t>
      </w:r>
      <w:r w:rsidR="00371556">
        <w:t>sensitive</w:t>
      </w:r>
      <w:r w:rsidR="003C7410">
        <w:t>, relapsed</w:t>
      </w:r>
      <w:r w:rsidR="00371556">
        <w:t xml:space="preserve"> HGSOC</w:t>
      </w:r>
      <w:r w:rsidR="003C7410">
        <w:t xml:space="preserve"> </w:t>
      </w:r>
      <w:r w:rsidR="00DE7576">
        <w:t xml:space="preserve">who </w:t>
      </w:r>
      <w:r w:rsidR="00AF0510">
        <w:t xml:space="preserve">were </w:t>
      </w:r>
      <w:r w:rsidR="006A361E">
        <w:t>g</w:t>
      </w:r>
      <w:r w:rsidR="00BF3D30">
        <w:t xml:space="preserve">ermline </w:t>
      </w:r>
      <w:r w:rsidR="006A361E">
        <w:t xml:space="preserve">BRCA1/2 wild-type </w:t>
      </w:r>
      <w:r w:rsidR="003C7410">
        <w:t>when first tested under MBS I</w:t>
      </w:r>
      <w:r w:rsidR="00AF0510">
        <w:t>tem 73295; OR</w:t>
      </w:r>
      <w:r w:rsidR="00250F07">
        <w:t xml:space="preserve"> </w:t>
      </w:r>
    </w:p>
    <w:p w:rsidR="00D705CA" w:rsidRDefault="00D705CA" w:rsidP="002E69B1">
      <w:pPr>
        <w:pStyle w:val="ListParagraph"/>
        <w:numPr>
          <w:ilvl w:val="0"/>
          <w:numId w:val="41"/>
        </w:numPr>
      </w:pPr>
      <w:r>
        <w:t>Patients with HGSOC who received germline BRCA1/2 testing under item 73296 and were found to be gBRCA1/2 mutation wild-type, who are platinum sensitive and relapsed after platinum chemotherapy.</w:t>
      </w:r>
    </w:p>
    <w:p w:rsidR="002E69B1" w:rsidRDefault="002E69B1" w:rsidP="002E69B1">
      <w:pPr>
        <w:ind w:left="426"/>
      </w:pPr>
      <w:r>
        <w:t>A revision to the item descriptor for Item 73295 and consistency for the new item number for tumour testing is requested so that BRCA1/2 testing can occur for HGSOC patients who are platinum sensitive and rela</w:t>
      </w:r>
      <w:r w:rsidR="002D7371">
        <w:t>psed after their first line of chemotherapy, that is, in parallel with their 2</w:t>
      </w:r>
      <w:r w:rsidR="002D7371" w:rsidRPr="002D7371">
        <w:rPr>
          <w:vertAlign w:val="superscript"/>
        </w:rPr>
        <w:t>nd</w:t>
      </w:r>
      <w:r w:rsidR="002D7371">
        <w:t xml:space="preserve"> line of chemotherapy.  It is important to allow time after germline BRCA1/2 testing for the more complex tumour testing to detect somatic BRCA1/2</w:t>
      </w:r>
      <w:r w:rsidR="00147BA5">
        <w:t xml:space="preserve"> mutations (</w:t>
      </w:r>
      <w:r w:rsidR="002D7371">
        <w:t>which ca</w:t>
      </w:r>
      <w:r w:rsidR="00147BA5">
        <w:t>n take 6-8 weeks for completion)</w:t>
      </w:r>
      <w:r w:rsidR="002D7371">
        <w:t xml:space="preserve"> while </w:t>
      </w:r>
      <w:r w:rsidR="00007A97">
        <w:t>2</w:t>
      </w:r>
      <w:r w:rsidR="00007A97" w:rsidRPr="00007A97">
        <w:rPr>
          <w:vertAlign w:val="superscript"/>
        </w:rPr>
        <w:t>nd</w:t>
      </w:r>
      <w:r w:rsidR="00007A97">
        <w:t xml:space="preserve"> line </w:t>
      </w:r>
      <w:r w:rsidR="002D7371">
        <w:t xml:space="preserve">chemotherapy is delivered.  </w:t>
      </w:r>
      <w:r w:rsidR="00007A97">
        <w:t xml:space="preserve">This will ensure that patients who then </w:t>
      </w:r>
      <w:r w:rsidR="00147BA5">
        <w:t xml:space="preserve">go on to </w:t>
      </w:r>
      <w:r w:rsidR="00007A97">
        <w:t xml:space="preserve">qualify for </w:t>
      </w:r>
      <w:proofErr w:type="spellStart"/>
      <w:r w:rsidR="00007A97">
        <w:t>olaparib</w:t>
      </w:r>
      <w:proofErr w:type="spellEnd"/>
      <w:r w:rsidR="00007A97">
        <w:t xml:space="preserve"> avoid delays that could compromise the benefit of </w:t>
      </w:r>
      <w:proofErr w:type="spellStart"/>
      <w:r w:rsidR="00007A97">
        <w:t>olaparib</w:t>
      </w:r>
      <w:proofErr w:type="spellEnd"/>
      <w:r w:rsidR="00007A97">
        <w:t xml:space="preserve"> </w:t>
      </w:r>
      <w:r w:rsidR="000A1544">
        <w:t>treatment.</w:t>
      </w:r>
      <w:r w:rsidR="00007A97">
        <w:t xml:space="preserve">  </w:t>
      </w:r>
    </w:p>
    <w:p w:rsidR="005B287A" w:rsidRPr="00656B4C" w:rsidRDefault="00656B4C" w:rsidP="00E357B9">
      <w:pPr>
        <w:ind w:left="426"/>
        <w:rPr>
          <w:i/>
        </w:rPr>
      </w:pPr>
      <w:r w:rsidRPr="00656B4C">
        <w:rPr>
          <w:i/>
        </w:rPr>
        <w:t xml:space="preserve">Proposed patients for </w:t>
      </w:r>
      <w:proofErr w:type="spellStart"/>
      <w:r w:rsidRPr="00656B4C">
        <w:rPr>
          <w:i/>
        </w:rPr>
        <w:t>olaparib</w:t>
      </w:r>
      <w:proofErr w:type="spellEnd"/>
      <w:r w:rsidRPr="00656B4C">
        <w:rPr>
          <w:i/>
        </w:rPr>
        <w:t xml:space="preserve"> treatment</w:t>
      </w:r>
    </w:p>
    <w:p w:rsidR="002E69B1" w:rsidRDefault="00147BA5" w:rsidP="002E69B1">
      <w:pPr>
        <w:ind w:left="357"/>
        <w:rPr>
          <w:sz w:val="16"/>
          <w:szCs w:val="16"/>
        </w:rPr>
      </w:pPr>
      <w:bookmarkStart w:id="7" w:name="_Hlk506900767"/>
      <w:r>
        <w:t xml:space="preserve">It is proposed that HGSOC patients should be eligible for </w:t>
      </w:r>
      <w:proofErr w:type="spellStart"/>
      <w:r>
        <w:t>olaparib</w:t>
      </w:r>
      <w:proofErr w:type="spellEnd"/>
      <w:r>
        <w:t xml:space="preserve"> treatment after completion of two lines of platinum chemotherapy and a response (complete or partial) after a platinum free interval of 6 months </w:t>
      </w:r>
      <w:r>
        <w:lastRenderedPageBreak/>
        <w:t xml:space="preserve">or greater.  </w:t>
      </w:r>
      <w:r w:rsidR="00656B4C">
        <w:t xml:space="preserve">Patients who are found to have no germline BRCA1/2 gene mutation but have a somatic BRCA1/2 gene mutation are not currently eligible for </w:t>
      </w:r>
      <w:proofErr w:type="spellStart"/>
      <w:r w:rsidR="00656B4C">
        <w:t>olaparib</w:t>
      </w:r>
      <w:proofErr w:type="spellEnd"/>
      <w:r w:rsidR="00656B4C">
        <w:t xml:space="preserve"> treatment.  It is proposed that these patients should be eligible for </w:t>
      </w:r>
      <w:proofErr w:type="spellStart"/>
      <w:r w:rsidR="00656B4C">
        <w:t>olaparib</w:t>
      </w:r>
      <w:proofErr w:type="spellEnd"/>
      <w:r w:rsidR="00656B4C">
        <w:t xml:space="preserve"> treatment.  </w:t>
      </w:r>
      <w:r w:rsidR="00FD3A09">
        <w:t>Patients who test wild-type</w:t>
      </w:r>
      <w:r w:rsidR="00515A97">
        <w:t xml:space="preserve"> for somatic BRCA1/2 gene mut</w:t>
      </w:r>
      <w:r w:rsidR="00535804">
        <w:t xml:space="preserve">ations would receive no active anticancer </w:t>
      </w:r>
      <w:r w:rsidR="00515A97">
        <w:t>treatment.</w:t>
      </w:r>
      <w:r w:rsidR="002E69B1" w:rsidRPr="002E69B1">
        <w:t xml:space="preserve"> </w:t>
      </w:r>
    </w:p>
    <w:p w:rsidR="00656B4C" w:rsidRDefault="00656B4C" w:rsidP="00E357B9">
      <w:pPr>
        <w:ind w:left="426"/>
      </w:pPr>
    </w:p>
    <w:bookmarkEnd w:id="7"/>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9924A3" w:rsidRDefault="009924A3" w:rsidP="009924A3">
      <w:pPr>
        <w:ind w:left="357"/>
      </w:pPr>
      <w:r>
        <w:t>Please refer to the Microsoft Visio Attachment to this application, “PSR HGSOC Algorithms”, and “Current” drawing for an editable version of the flowchart below.</w:t>
      </w:r>
    </w:p>
    <w:p w:rsidR="00CD3D1C" w:rsidRDefault="00CD3D1C" w:rsidP="008C452A">
      <w:pPr>
        <w:ind w:left="357"/>
      </w:pPr>
    </w:p>
    <w:p w:rsidR="00CD3D1C" w:rsidRDefault="00473E69" w:rsidP="009571AA">
      <w:pPr>
        <w:ind w:left="357"/>
      </w:pPr>
      <w:r w:rsidRPr="00473E69">
        <w:rPr>
          <w:noProof/>
          <w:lang w:eastAsia="en-AU"/>
        </w:rPr>
        <w:drawing>
          <wp:inline distT="0" distB="0" distL="0" distR="0">
            <wp:extent cx="5731510" cy="3550658"/>
            <wp:effectExtent l="0" t="0" r="2540" b="0"/>
            <wp:docPr id="2" name="Picture 2" title="Clinical managemen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3550658"/>
                    </a:xfrm>
                    <a:prstGeom prst="rect">
                      <a:avLst/>
                    </a:prstGeom>
                    <a:noFill/>
                    <a:ln>
                      <a:noFill/>
                    </a:ln>
                  </pic:spPr>
                </pic:pic>
              </a:graphicData>
            </a:graphic>
          </wp:inline>
        </w:drawing>
      </w:r>
    </w:p>
    <w:p w:rsidR="00CD3D1C" w:rsidRDefault="00CD3D1C" w:rsidP="008C452A">
      <w:pPr>
        <w:ind w:left="357"/>
      </w:pPr>
    </w:p>
    <w:p w:rsidR="00CD3D1C" w:rsidRPr="009924A3" w:rsidRDefault="009924A3" w:rsidP="008C452A">
      <w:pPr>
        <w:ind w:left="357"/>
        <w:rPr>
          <w:sz w:val="18"/>
          <w:szCs w:val="18"/>
        </w:rPr>
      </w:pPr>
      <w:r w:rsidRPr="009924A3">
        <w:rPr>
          <w:sz w:val="18"/>
          <w:szCs w:val="18"/>
        </w:rPr>
        <w:t xml:space="preserve">Abbreviations: </w:t>
      </w:r>
      <w:proofErr w:type="spellStart"/>
      <w:r w:rsidRPr="009924A3">
        <w:rPr>
          <w:sz w:val="18"/>
          <w:szCs w:val="18"/>
        </w:rPr>
        <w:t>gBRCA</w:t>
      </w:r>
      <w:proofErr w:type="spellEnd"/>
      <w:r w:rsidRPr="009924A3">
        <w:rPr>
          <w:sz w:val="18"/>
          <w:szCs w:val="18"/>
        </w:rPr>
        <w:t xml:space="preserve"> germline BR</w:t>
      </w:r>
      <w:r w:rsidR="000F49A1">
        <w:rPr>
          <w:sz w:val="18"/>
          <w:szCs w:val="18"/>
        </w:rPr>
        <w:t xml:space="preserve">CA1 or BRCA2; </w:t>
      </w:r>
      <w:proofErr w:type="spellStart"/>
      <w:r w:rsidR="000F49A1">
        <w:rPr>
          <w:sz w:val="18"/>
          <w:szCs w:val="18"/>
        </w:rPr>
        <w:t>wt</w:t>
      </w:r>
      <w:proofErr w:type="spellEnd"/>
      <w:r w:rsidR="000F49A1">
        <w:rPr>
          <w:sz w:val="18"/>
          <w:szCs w:val="18"/>
        </w:rPr>
        <w:t xml:space="preserve"> wild type;</w:t>
      </w:r>
      <w:r w:rsidRPr="009924A3">
        <w:rPr>
          <w:sz w:val="18"/>
          <w:szCs w:val="18"/>
        </w:rPr>
        <w:t xml:space="preserve"> </w:t>
      </w:r>
      <w:r w:rsidR="003633B1">
        <w:rPr>
          <w:sz w:val="18"/>
          <w:szCs w:val="18"/>
        </w:rPr>
        <w:t>HGSOC high grade serous ovarian cancer</w:t>
      </w:r>
    </w:p>
    <w:p w:rsidR="009924A3" w:rsidRDefault="009924A3" w:rsidP="008C452A">
      <w:pPr>
        <w:ind w:left="357"/>
      </w:pPr>
    </w:p>
    <w:p w:rsidR="009924A3" w:rsidRDefault="00F37A56" w:rsidP="008C452A">
      <w:pPr>
        <w:ind w:left="357"/>
      </w:pPr>
      <w:r>
        <w:t>The majority of p</w:t>
      </w:r>
      <w:r w:rsidR="009924A3">
        <w:t>atients who are diagnosed with high grade serous ovarian</w:t>
      </w:r>
      <w:r w:rsidR="004C14F4">
        <w:t xml:space="preserve">, fallopian tube or primary peritoneal cancer </w:t>
      </w:r>
      <w:r w:rsidR="003633B1">
        <w:t xml:space="preserve">(HGSOC) </w:t>
      </w:r>
      <w:r>
        <w:t xml:space="preserve">would currently be eligible for germline BRCA1/2 testing </w:t>
      </w:r>
      <w:r w:rsidR="00333E0E">
        <w:t xml:space="preserve">“early” </w:t>
      </w:r>
      <w:r w:rsidR="00831E2E">
        <w:t xml:space="preserve">under MBS Item 73296 </w:t>
      </w:r>
      <w:r>
        <w:t xml:space="preserve">from the time of diagnosis </w:t>
      </w:r>
      <w:r w:rsidR="006B5EC2">
        <w:t>(</w:t>
      </w:r>
      <w:proofErr w:type="spellStart"/>
      <w:r w:rsidR="006B5EC2">
        <w:t>ie</w:t>
      </w:r>
      <w:proofErr w:type="spellEnd"/>
      <w:r w:rsidR="005F764C">
        <w:t>.</w:t>
      </w:r>
      <w:r>
        <w:t xml:space="preserve"> </w:t>
      </w:r>
      <w:r w:rsidR="006B5EC2">
        <w:t>most HGSOC</w:t>
      </w:r>
      <w:r>
        <w:t xml:space="preserve"> </w:t>
      </w:r>
      <w:r w:rsidR="006B5EC2">
        <w:t xml:space="preserve">have &gt;10% risk of having a mutation according to the quantitative algorithm used in practice).  These patients may have pre-test </w:t>
      </w:r>
      <w:r w:rsidR="003633B1">
        <w:t xml:space="preserve">genetic </w:t>
      </w:r>
      <w:r w:rsidR="006B5EC2">
        <w:t>counselling and</w:t>
      </w:r>
      <w:r w:rsidR="005F764C">
        <w:t>,</w:t>
      </w:r>
      <w:r w:rsidR="006B5EC2">
        <w:t xml:space="preserve"> if found to carry a germline BRCA1/2 mutation will be eligible for post</w:t>
      </w:r>
      <w:r w:rsidR="003633B1">
        <w:t>-</w:t>
      </w:r>
      <w:r w:rsidR="006B5EC2">
        <w:t>test genetic counselling</w:t>
      </w:r>
      <w:r w:rsidR="003633B1">
        <w:t xml:space="preserve">.  These patients would also have tumour </w:t>
      </w:r>
      <w:proofErr w:type="spellStart"/>
      <w:r w:rsidR="003633B1">
        <w:t>debulking</w:t>
      </w:r>
      <w:proofErr w:type="spellEnd"/>
      <w:r w:rsidR="003633B1">
        <w:t xml:space="preserve"> surgery (after neo-adjuvant chemotherapy at some institutions).  First line chemotherapy with a platinum-based chemotherapy regimen is then standard of care for these patients</w:t>
      </w:r>
      <w:r w:rsidR="005F764C">
        <w:t xml:space="preserve">.  Ovarian cancer is generally a chemotherapy-sensitive tumour </w:t>
      </w:r>
      <w:proofErr w:type="gramStart"/>
      <w:r w:rsidR="005F764C">
        <w:t>type,</w:t>
      </w:r>
      <w:proofErr w:type="gramEnd"/>
      <w:r w:rsidR="005F764C">
        <w:t xml:space="preserve"> however patients who do initially respond to treatment eventually relapse.  Standard of care at the point of relapse is another round of platinum-based chemotherapy</w:t>
      </w:r>
      <w:r w:rsidR="00DC3EE1">
        <w:t xml:space="preserve">.  For HGSOC patients with </w:t>
      </w:r>
      <w:r w:rsidR="007A57DA">
        <w:t xml:space="preserve">known </w:t>
      </w:r>
      <w:r w:rsidR="00DC3EE1">
        <w:t xml:space="preserve">germline BRCA1/2 gene mutations who have completed </w:t>
      </w:r>
      <w:bookmarkStart w:id="8" w:name="_Hlk507174308"/>
      <w:r w:rsidR="007A57DA">
        <w:t>at least two courses of platinum-based chemotherapy and demonstrated they are sensitive [</w:t>
      </w:r>
      <w:r w:rsidR="00DC3EE1">
        <w:t xml:space="preserve">had an objective response (complete response or partial response) to their most recent </w:t>
      </w:r>
      <w:r w:rsidR="007A57DA">
        <w:t>regimen]</w:t>
      </w:r>
      <w:bookmarkEnd w:id="8"/>
      <w:r w:rsidR="007A57DA">
        <w:t xml:space="preserve">, maintenance treatment with </w:t>
      </w:r>
      <w:proofErr w:type="spellStart"/>
      <w:r w:rsidR="007A57DA">
        <w:t>olaparib</w:t>
      </w:r>
      <w:proofErr w:type="spellEnd"/>
      <w:r w:rsidR="007A57DA">
        <w:t xml:space="preserve"> is the next treatment option.</w:t>
      </w:r>
      <w:r w:rsidR="00333E0E">
        <w:t xml:space="preserve">  </w:t>
      </w:r>
      <w:r w:rsidR="00831E2E">
        <w:t>HGSOC p</w:t>
      </w:r>
      <w:r w:rsidR="00333E0E">
        <w:t>atients who received early germline BRCA1/2 testing and were found to be g</w:t>
      </w:r>
      <w:r w:rsidR="000F49A1">
        <w:t>BRCA1/2 wild type</w:t>
      </w:r>
      <w:r w:rsidR="00333E0E">
        <w:t xml:space="preserve"> would </w:t>
      </w:r>
      <w:r w:rsidR="00831E2E">
        <w:lastRenderedPageBreak/>
        <w:t xml:space="preserve">still </w:t>
      </w:r>
      <w:bookmarkStart w:id="9" w:name="_Hlk507174186"/>
      <w:r w:rsidR="00333E0E">
        <w:t xml:space="preserve">undergo the same treatment of tumour </w:t>
      </w:r>
      <w:proofErr w:type="spellStart"/>
      <w:r w:rsidR="00333E0E">
        <w:t>debulking</w:t>
      </w:r>
      <w:proofErr w:type="spellEnd"/>
      <w:r w:rsidR="00333E0E">
        <w:t xml:space="preserve"> surgery</w:t>
      </w:r>
      <w:r w:rsidR="00831E2E">
        <w:t xml:space="preserve"> (with or without neo-adjuvant chemotherapy) followed by several rounds of platinum-based chemotherapy,</w:t>
      </w:r>
      <w:bookmarkEnd w:id="9"/>
      <w:r w:rsidR="00831E2E">
        <w:t xml:space="preserve"> however these patients are not currently eligible for </w:t>
      </w:r>
      <w:proofErr w:type="spellStart"/>
      <w:r w:rsidR="00831E2E">
        <w:t>olaparib</w:t>
      </w:r>
      <w:proofErr w:type="spellEnd"/>
      <w:r w:rsidR="00831E2E">
        <w:t xml:space="preserve"> treatment even if they have relapsed and have demonstrated sensitivity to platinum-based treatment.</w:t>
      </w:r>
      <w:r w:rsidR="00BC2AF0">
        <w:t xml:space="preserve">  The next step for these patients is “watch and wait”, or no active anticancer treatment.</w:t>
      </w:r>
    </w:p>
    <w:p w:rsidR="00FD3A09" w:rsidRDefault="00BC2AF0" w:rsidP="008C452A">
      <w:pPr>
        <w:ind w:left="357"/>
      </w:pPr>
      <w:r>
        <w:t xml:space="preserve">HGSOC patients who are not eligible or are not tested for germline BRCA1/2 testing under MBS item 73296 at diagnosis also undergo the same treatment of tumour </w:t>
      </w:r>
      <w:proofErr w:type="spellStart"/>
      <w:r>
        <w:t>debulking</w:t>
      </w:r>
      <w:proofErr w:type="spellEnd"/>
      <w:r>
        <w:t xml:space="preserve"> surgery (with or without neo-adjuvant chemotherapy</w:t>
      </w:r>
      <w:r w:rsidR="00645E66">
        <w:t xml:space="preserve">) followed by first line </w:t>
      </w:r>
      <w:r>
        <w:t>platinum-based chemotherapy</w:t>
      </w:r>
      <w:r w:rsidR="00645E66">
        <w:t xml:space="preserve"> and, after relapse another round</w:t>
      </w:r>
      <w:r>
        <w:t xml:space="preserve">.  </w:t>
      </w:r>
      <w:r w:rsidR="00645E66">
        <w:t xml:space="preserve">HGSOC patients who have completed at least two courses of platinum-based chemotherapy and demonstrated they are sensitive [had an objective response (complete response or partial response) to their most recent regimen] are eligible for “late” germline BRCA1/2 testing </w:t>
      </w:r>
      <w:r w:rsidR="00BE4096">
        <w:t>under Item 73295</w:t>
      </w:r>
      <w:r w:rsidR="002B26F9">
        <w:t xml:space="preserve"> </w:t>
      </w:r>
      <w:r w:rsidR="00645E66">
        <w:t>and, if they have a g</w:t>
      </w:r>
      <w:r w:rsidR="00FD3A09">
        <w:t xml:space="preserve">ermline </w:t>
      </w:r>
      <w:r w:rsidR="00645E66">
        <w:t xml:space="preserve">BRCA1/2 mutation, would then be eligible for maintenance </w:t>
      </w:r>
      <w:proofErr w:type="spellStart"/>
      <w:r w:rsidR="00645E66">
        <w:t>olaparib</w:t>
      </w:r>
      <w:proofErr w:type="spellEnd"/>
      <w:r w:rsidR="00645E66">
        <w:t xml:space="preserve"> treatment.</w:t>
      </w:r>
      <w:r w:rsidR="000F49A1">
        <w:t xml:space="preserve">  </w:t>
      </w:r>
      <w:r w:rsidR="002B26F9">
        <w:t xml:space="preserve">Germline BRCA1/2 testing takes approximately 4 weeks so there is currently a delay before </w:t>
      </w:r>
      <w:proofErr w:type="spellStart"/>
      <w:r w:rsidR="002B26F9">
        <w:t>olaparib</w:t>
      </w:r>
      <w:proofErr w:type="spellEnd"/>
      <w:r w:rsidR="002B26F9">
        <w:t xml:space="preserve"> can be started even for patients who will ultimately qualify. If germline BRCA1/2 testing could be completed earlier </w:t>
      </w:r>
      <w:r w:rsidR="00430185">
        <w:t xml:space="preserve">then the next treatment for patients could be planned without a delay.  </w:t>
      </w:r>
      <w:r w:rsidR="000F49A1">
        <w:t xml:space="preserve">Patients who are </w:t>
      </w:r>
      <w:r w:rsidR="00FD3A09">
        <w:t xml:space="preserve">germline BRCA1/2 </w:t>
      </w:r>
      <w:r w:rsidR="000F49A1">
        <w:t>wild-type</w:t>
      </w:r>
      <w:r w:rsidR="00182FCC">
        <w:t xml:space="preserve"> are not eligible for </w:t>
      </w:r>
      <w:proofErr w:type="spellStart"/>
      <w:r w:rsidR="00182FCC">
        <w:t>olaparib</w:t>
      </w:r>
      <w:proofErr w:type="spellEnd"/>
      <w:r w:rsidR="00182FCC">
        <w:t xml:space="preserve"> and currently have</w:t>
      </w:r>
      <w:r w:rsidR="00FD3A09">
        <w:t xml:space="preserve"> </w:t>
      </w:r>
      <w:r w:rsidR="00182FCC">
        <w:t>“watch and wait”, or no active anticancer treatment.</w:t>
      </w:r>
    </w:p>
    <w:p w:rsidR="00CD3D1C" w:rsidRPr="008C452A" w:rsidRDefault="00FD3A09" w:rsidP="00FD3A09">
      <w:pPr>
        <w:spacing w:before="0" w:after="200" w:line="276" w:lineRule="auto"/>
      </w:pPr>
      <w:r>
        <w:br w:type="page"/>
      </w:r>
    </w:p>
    <w:p w:rsidR="002A50FD" w:rsidRPr="00881F93" w:rsidRDefault="005C3AE7" w:rsidP="00182FCC">
      <w:pPr>
        <w:pStyle w:val="Subtitle"/>
        <w:ind w:left="0" w:firstLine="357"/>
      </w:pPr>
      <w:r>
        <w:lastRenderedPageBreak/>
        <w:t xml:space="preserve">PART 6b – </w:t>
      </w:r>
      <w:r w:rsidR="002A50FD" w:rsidRPr="00881F93">
        <w:t>INFORMATION ABOUT THE INTERVENTION</w:t>
      </w:r>
    </w:p>
    <w:p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F378AA" w:rsidRPr="00056DE1" w:rsidRDefault="00FF066A" w:rsidP="00F378AA">
      <w:pPr>
        <w:ind w:left="360"/>
        <w:rPr>
          <w:i/>
        </w:rPr>
      </w:pPr>
      <w:r w:rsidRPr="00056DE1">
        <w:rPr>
          <w:i/>
        </w:rPr>
        <w:t>Tumour BRCA1/2 testing</w:t>
      </w:r>
    </w:p>
    <w:p w:rsidR="003E35AA" w:rsidRDefault="00026FCE" w:rsidP="00182F12">
      <w:pPr>
        <w:ind w:left="360"/>
      </w:pPr>
      <w:r>
        <w:t xml:space="preserve">For </w:t>
      </w:r>
      <w:r w:rsidR="005A7916">
        <w:t>the substantial majority of</w:t>
      </w:r>
      <w:r>
        <w:t xml:space="preserve"> patients with platinum sensitive, relapsed HGSOC tumour specimens </w:t>
      </w:r>
      <w:r w:rsidR="00182F12">
        <w:t xml:space="preserve">to provide tissue </w:t>
      </w:r>
      <w:r>
        <w:t xml:space="preserve">for BRCA1/2 testing will be available as formalin-fixed paraffin-embedded blocks archived following </w:t>
      </w:r>
      <w:r w:rsidR="005A7916">
        <w:t xml:space="preserve">primary tumour </w:t>
      </w:r>
      <w:proofErr w:type="spellStart"/>
      <w:r w:rsidR="005A7916">
        <w:t>debulking</w:t>
      </w:r>
      <w:proofErr w:type="spellEnd"/>
      <w:r w:rsidR="005A7916">
        <w:t xml:space="preserve"> surgery.  </w:t>
      </w:r>
      <w:bookmarkStart w:id="10" w:name="_Hlk506903101"/>
      <w:r w:rsidR="005A7916">
        <w:t xml:space="preserve">However, HGSOC patients </w:t>
      </w:r>
      <w:r w:rsidR="00E21647">
        <w:t>proposed</w:t>
      </w:r>
      <w:r w:rsidR="005A7916">
        <w:t xml:space="preserve"> for testing will have relapsed following two or more lines of platinum based </w:t>
      </w:r>
      <w:proofErr w:type="gramStart"/>
      <w:r w:rsidR="005A7916">
        <w:t>chemotherapy,</w:t>
      </w:r>
      <w:proofErr w:type="gramEnd"/>
      <w:r w:rsidR="005A7916">
        <w:t xml:space="preserve"> consequently tumour specimens may have be</w:t>
      </w:r>
      <w:r w:rsidR="00182F12">
        <w:t>en</w:t>
      </w:r>
      <w:r w:rsidR="007B2B9F">
        <w:t xml:space="preserve"> </w:t>
      </w:r>
      <w:r w:rsidR="00E21647">
        <w:t>archived for many months or even years.</w:t>
      </w:r>
      <w:bookmarkEnd w:id="10"/>
      <w:r w:rsidR="00E21647">
        <w:t xml:space="preserve">  In some circumstances </w:t>
      </w:r>
      <w:r w:rsidR="004319B9">
        <w:t>(such as a long period in archive or issues with the FFPE process) there may be degradation of the DNA</w:t>
      </w:r>
      <w:r w:rsidR="005C3F95">
        <w:t xml:space="preserve"> in the specimen and a re-biopsy may be necessary.  A fresh biopsy may also be required in a minority of cases where </w:t>
      </w:r>
      <w:r w:rsidR="001A6DB2">
        <w:t xml:space="preserve">initial </w:t>
      </w:r>
      <w:r w:rsidR="005C3F95">
        <w:t xml:space="preserve">neo-adjuvant chemotherapy resulted in significant tumour shrinkage and tumour </w:t>
      </w:r>
      <w:proofErr w:type="spellStart"/>
      <w:r w:rsidR="005C3F95">
        <w:t>debulking</w:t>
      </w:r>
      <w:proofErr w:type="spellEnd"/>
      <w:r w:rsidR="005C3F95">
        <w:t xml:space="preserve"> surgery </w:t>
      </w:r>
      <w:r w:rsidR="001A6DB2">
        <w:t>did not provide any viable tumour tissue.</w:t>
      </w:r>
      <w:r w:rsidR="004319B9">
        <w:t xml:space="preserve"> </w:t>
      </w:r>
      <w:r w:rsidR="007B2B9F">
        <w:t xml:space="preserve"> Costs will be incurred for retrieving samples from archive and possibly for forwarding them on to the specialist molecular diagnostic laboratories </w:t>
      </w:r>
      <w:proofErr w:type="gramStart"/>
      <w:r w:rsidR="007B2B9F">
        <w:t>who</w:t>
      </w:r>
      <w:proofErr w:type="gramEnd"/>
      <w:r w:rsidR="007B2B9F">
        <w:t xml:space="preserve"> are able to perform the tissue BRCA1/2 test.</w:t>
      </w:r>
      <w:r>
        <w:tab/>
      </w:r>
    </w:p>
    <w:p w:rsidR="00F912ED" w:rsidRDefault="00182F12" w:rsidP="00F912ED">
      <w:pPr>
        <w:ind w:left="360"/>
      </w:pPr>
      <w:r>
        <w:t>Blood-</w:t>
      </w:r>
      <w:r w:rsidR="00F912ED">
        <w:t>based g</w:t>
      </w:r>
      <w:r w:rsidR="00AB2663">
        <w:t xml:space="preserve">ermline </w:t>
      </w:r>
      <w:r w:rsidR="00F912ED">
        <w:t>BRCA1/2 testing will have been determined prior to tumour BRCA1/2 testing and since the nature of the specimen is different tumour BRCA1/2 testing should be requested by</w:t>
      </w:r>
      <w:r w:rsidR="00C84F80">
        <w:t xml:space="preserve"> a specialist or consultant physician</w:t>
      </w:r>
      <w:r w:rsidR="00F912ED">
        <w:t>. In addition</w:t>
      </w:r>
      <w:r w:rsidR="00DE4761">
        <w:t>,</w:t>
      </w:r>
      <w:r w:rsidR="00F912ED">
        <w:t xml:space="preserve"> the</w:t>
      </w:r>
      <w:r w:rsidR="00233E53">
        <w:t xml:space="preserve"> HGSOC patients proposed for testing will </w:t>
      </w:r>
      <w:r w:rsidR="00DE4761">
        <w:t xml:space="preserve">need to </w:t>
      </w:r>
      <w:r w:rsidR="00233E53">
        <w:t>have relap</w:t>
      </w:r>
      <w:r w:rsidR="00473E69">
        <w:t>sed after 1</w:t>
      </w:r>
      <w:r w:rsidR="00473E69" w:rsidRPr="00473E69">
        <w:rPr>
          <w:vertAlign w:val="superscript"/>
        </w:rPr>
        <w:t>st</w:t>
      </w:r>
      <w:r w:rsidR="00473E69">
        <w:t xml:space="preserve"> line </w:t>
      </w:r>
      <w:r w:rsidR="00233E53">
        <w:t>platin</w:t>
      </w:r>
      <w:r w:rsidR="009032C6">
        <w:t>um-</w:t>
      </w:r>
      <w:r w:rsidR="00233E53">
        <w:t>based chemotherap</w:t>
      </w:r>
      <w:r w:rsidR="00991891">
        <w:t>y</w:t>
      </w:r>
      <w:r w:rsidR="00AB2663">
        <w:t xml:space="preserve">, </w:t>
      </w:r>
      <w:r w:rsidR="00DE4761">
        <w:t>as</w:t>
      </w:r>
      <w:r w:rsidR="00F912ED">
        <w:t xml:space="preserve"> assessed by</w:t>
      </w:r>
      <w:r w:rsidR="00C84F80">
        <w:t xml:space="preserve"> the treating </w:t>
      </w:r>
      <w:r w:rsidR="00DD11C0">
        <w:t>specialist or consultant physician</w:t>
      </w:r>
      <w:r w:rsidR="00F912ED">
        <w:t xml:space="preserve">, </w:t>
      </w:r>
      <w:r w:rsidR="00DE4761">
        <w:t>so they are best placed to order the test.</w:t>
      </w:r>
    </w:p>
    <w:p w:rsidR="00652573" w:rsidRPr="00652573" w:rsidRDefault="00652573" w:rsidP="00B57831">
      <w:pPr>
        <w:ind w:left="360"/>
        <w:rPr>
          <w:b/>
        </w:rPr>
      </w:pPr>
      <w:proofErr w:type="gramStart"/>
      <w:r w:rsidRPr="00652573">
        <w:rPr>
          <w:b/>
        </w:rPr>
        <w:t>Redacted.</w:t>
      </w:r>
      <w:proofErr w:type="gramEnd"/>
    </w:p>
    <w:p w:rsidR="00B57831" w:rsidRDefault="00652573" w:rsidP="00B57831">
      <w:pPr>
        <w:ind w:left="360"/>
      </w:pPr>
      <w:r>
        <w:t>M</w:t>
      </w:r>
      <w:r w:rsidR="0093610A">
        <w:t>acro- or m</w:t>
      </w:r>
      <w:r w:rsidR="00D870B2">
        <w:t>icro-dissection of the specimen may be required to increase the proportion of tumour tissue.  DNA is extracted</w:t>
      </w:r>
      <w:r w:rsidR="0093610A">
        <w:t>, purified</w:t>
      </w:r>
      <w:r w:rsidR="00D870B2">
        <w:t xml:space="preserve"> and may be quantified using the laboratory’s preferred commercially available kits</w:t>
      </w:r>
      <w:r w:rsidR="0093610A">
        <w:t>.  PCR amplification methods</w:t>
      </w:r>
      <w:r w:rsidR="009C2B28">
        <w:t>, including multiplex ligation dependent probe amplification</w:t>
      </w:r>
      <w:r w:rsidR="00AF4D7C">
        <w:t xml:space="preserve"> (M</w:t>
      </w:r>
      <w:r w:rsidR="00B57831">
        <w:t>L</w:t>
      </w:r>
      <w:r w:rsidR="00AF4D7C">
        <w:t>P</w:t>
      </w:r>
      <w:r w:rsidR="00B57831">
        <w:t>A)</w:t>
      </w:r>
      <w:r w:rsidR="0093610A">
        <w:t xml:space="preserve"> may be </w:t>
      </w:r>
      <w:r w:rsidR="004D045F">
        <w:t>used</w:t>
      </w:r>
      <w:r w:rsidR="0093610A">
        <w:t>.  Hybridisation capture baits m</w:t>
      </w:r>
      <w:r w:rsidR="00C17CB5">
        <w:t>a</w:t>
      </w:r>
      <w:r w:rsidR="0093610A">
        <w:t xml:space="preserve">y also be </w:t>
      </w:r>
      <w:r w:rsidR="00C17CB5">
        <w:t>used.</w:t>
      </w:r>
      <w:r w:rsidR="00344A0E">
        <w:t xml:space="preserve"> Libraries for sequencing are prepared and library quality may be evaluated at this step.</w:t>
      </w:r>
      <w:r w:rsidR="00F47BFC">
        <w:t xml:space="preserve"> Some gene panels (</w:t>
      </w:r>
      <w:proofErr w:type="spellStart"/>
      <w:r w:rsidR="00F47BFC">
        <w:t>eg</w:t>
      </w:r>
      <w:proofErr w:type="spellEnd"/>
      <w:r w:rsidR="00F47BFC">
        <w:t xml:space="preserve"> BROCA) identify all classes of mutations including single base substitutions, small insertions and deletions and large gene re-arrangements.</w:t>
      </w:r>
      <w:r w:rsidR="009C2B28">
        <w:t xml:space="preserve"> Variants are called using comparison to reference libraries. </w:t>
      </w:r>
      <w:r w:rsidR="004D045F">
        <w:t xml:space="preserve">Next generation sequencing is performed at most Australian laboratories using the Illumina </w:t>
      </w:r>
      <w:proofErr w:type="spellStart"/>
      <w:r w:rsidR="004D045F">
        <w:t>MiSeq</w:t>
      </w:r>
      <w:proofErr w:type="spellEnd"/>
      <w:r w:rsidR="004D045F">
        <w:t xml:space="preserve"> platform, although some laboratories </w:t>
      </w:r>
      <w:r w:rsidR="00244B2F">
        <w:t xml:space="preserve">have moved to Illumina </w:t>
      </w:r>
      <w:proofErr w:type="spellStart"/>
      <w:r w:rsidR="00244B2F">
        <w:t>NextSeq</w:t>
      </w:r>
      <w:proofErr w:type="spellEnd"/>
      <w:r w:rsidR="00244B2F">
        <w:t>.</w:t>
      </w:r>
      <w:r w:rsidR="009C2B28">
        <w:t xml:space="preserve"> </w:t>
      </w:r>
      <w:r w:rsidR="00B57831">
        <w:t xml:space="preserve"> Sequencing results are then reported to t</w:t>
      </w:r>
      <w:r w:rsidR="00DD11C0">
        <w:t>he requesting specialist or consultant physician</w:t>
      </w:r>
      <w:r w:rsidR="00B57831">
        <w:t>.</w:t>
      </w:r>
    </w:p>
    <w:p w:rsidR="003E35AA" w:rsidRPr="00F912ED" w:rsidRDefault="003E35AA" w:rsidP="00F912ED">
      <w:pPr>
        <w:ind w:left="360"/>
      </w:pPr>
      <w:r w:rsidRPr="00056DE1">
        <w:rPr>
          <w:i/>
        </w:rPr>
        <w:t>LYNPARZA</w:t>
      </w:r>
      <w:r w:rsidRPr="00056DE1">
        <w:rPr>
          <w:rFonts w:cstheme="minorHAnsi"/>
          <w:i/>
          <w:sz w:val="28"/>
          <w:szCs w:val="28"/>
        </w:rPr>
        <w:t>®</w:t>
      </w:r>
      <w:r w:rsidRPr="00056DE1">
        <w:rPr>
          <w:i/>
        </w:rPr>
        <w:t xml:space="preserve"> (</w:t>
      </w:r>
      <w:proofErr w:type="spellStart"/>
      <w:r w:rsidRPr="00056DE1">
        <w:rPr>
          <w:i/>
        </w:rPr>
        <w:t>olaparib</w:t>
      </w:r>
      <w:proofErr w:type="spellEnd"/>
      <w:r w:rsidRPr="00056DE1">
        <w:rPr>
          <w:i/>
        </w:rPr>
        <w:t>) treatment</w:t>
      </w:r>
    </w:p>
    <w:p w:rsidR="003E35AA" w:rsidRDefault="00056DE1" w:rsidP="00026FCE">
      <w:pPr>
        <w:ind w:left="426"/>
      </w:pPr>
      <w:proofErr w:type="spellStart"/>
      <w:r>
        <w:t>Olaparib</w:t>
      </w:r>
      <w:proofErr w:type="spellEnd"/>
      <w:r>
        <w:t xml:space="preserve"> is a </w:t>
      </w:r>
      <w:proofErr w:type="gramStart"/>
      <w:r>
        <w:t>poly(</w:t>
      </w:r>
      <w:proofErr w:type="gramEnd"/>
      <w:r w:rsidR="00D9081B">
        <w:t>adenosine diphosphate</w:t>
      </w:r>
      <w:r>
        <w:t xml:space="preserve">-ribose) polymerase (PARP) inhibitor. </w:t>
      </w:r>
      <w:proofErr w:type="spellStart"/>
      <w:r>
        <w:t>Olaparib</w:t>
      </w:r>
      <w:proofErr w:type="spellEnd"/>
      <w:r>
        <w:t xml:space="preserve"> traps PARP at sites of DNA damage, blocking base-excision repair and resulting in the collapse of DNA replication forks and the accumulation of </w:t>
      </w:r>
      <w:r w:rsidR="00D9081B">
        <w:t xml:space="preserve">DNA double-strand breaks.  Induced “synthetic lethality” is seen with </w:t>
      </w:r>
      <w:proofErr w:type="spellStart"/>
      <w:r w:rsidR="00D9081B">
        <w:t>olaparib</w:t>
      </w:r>
      <w:proofErr w:type="spellEnd"/>
      <w:r w:rsidR="00D9081B">
        <w:t xml:space="preserve"> in tumours that are deficient in homologous recombination repair pathways, such as those with BRCA1/2 gene mutations.</w:t>
      </w:r>
    </w:p>
    <w:p w:rsidR="00E85C49" w:rsidRPr="00F378AA" w:rsidRDefault="004D038F" w:rsidP="00454373">
      <w:pPr>
        <w:ind w:left="426"/>
      </w:pPr>
      <w:r>
        <w:t xml:space="preserve">Eligibility for PBS treatment with </w:t>
      </w:r>
      <w:proofErr w:type="spellStart"/>
      <w:r>
        <w:t>olaparib</w:t>
      </w:r>
      <w:proofErr w:type="spellEnd"/>
      <w:r>
        <w:t xml:space="preserve"> is proposed in </w:t>
      </w:r>
      <w:r w:rsidR="00473E69">
        <w:t xml:space="preserve">HGSOC </w:t>
      </w:r>
      <w:r>
        <w:t>patients who are found to have no germline BRCA1/2 gene mutation</w:t>
      </w:r>
      <w:r w:rsidR="00026FCE">
        <w:t>s</w:t>
      </w:r>
      <w:r>
        <w:t xml:space="preserve"> but have a somatic BRCA1/2 gene mutation identified by tumour BRCA1/2 testing as described ab</w:t>
      </w:r>
      <w:r w:rsidR="00B944C9">
        <w:t xml:space="preserve">ove.  </w:t>
      </w:r>
      <w:r w:rsidR="00473E69">
        <w:t xml:space="preserve">HGSOC patients </w:t>
      </w:r>
      <w:r w:rsidR="00F8694A">
        <w:t xml:space="preserve">need to have completed two lines of platinum based chemotherapy and have a </w:t>
      </w:r>
      <w:bookmarkStart w:id="11" w:name="_Hlk508022478"/>
      <w:r w:rsidR="00F8694A">
        <w:t xml:space="preserve">response (complete or partial) after a 6 months or greater platinum free interval. </w:t>
      </w:r>
      <w:bookmarkEnd w:id="11"/>
      <w:r w:rsidR="00F8694A">
        <w:t xml:space="preserve"> </w:t>
      </w:r>
      <w:r w:rsidR="00473E69">
        <w:t xml:space="preserve">HGSOC </w:t>
      </w:r>
      <w:r w:rsidR="00B944C9">
        <w:t>Patients who test wild-type</w:t>
      </w:r>
      <w:r>
        <w:t xml:space="preserve"> for somatic BRCA1/2 gene mutations w</w:t>
      </w:r>
      <w:r w:rsidR="00F8694A">
        <w:t xml:space="preserve">ould receive best supportive care/no active anticancer </w:t>
      </w:r>
      <w:r>
        <w:t>treatment.</w:t>
      </w:r>
    </w:p>
    <w:p w:rsidR="002A6753"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F378AA" w:rsidRPr="00F378AA" w:rsidRDefault="00B57831" w:rsidP="00F378AA">
      <w:pPr>
        <w:ind w:left="360"/>
      </w:pPr>
      <w:r>
        <w:t xml:space="preserve">Registered trademarks may be held by various </w:t>
      </w:r>
      <w:r w:rsidR="00BE2560">
        <w:t xml:space="preserve">commercial </w:t>
      </w:r>
      <w:r>
        <w:t xml:space="preserve">kits used at stages of the </w:t>
      </w:r>
      <w:r w:rsidR="00BE2560">
        <w:t xml:space="preserve">testing </w:t>
      </w:r>
      <w:r>
        <w:t xml:space="preserve">process outlined </w:t>
      </w:r>
      <w:r w:rsidR="00A36F23">
        <w:t>in Q28</w:t>
      </w:r>
      <w:r w:rsidR="00BE2560">
        <w:t xml:space="preserve"> a</w:t>
      </w:r>
      <w:r>
        <w:t xml:space="preserve">bove, for example for DNA extraction, </w:t>
      </w:r>
      <w:r w:rsidR="00BE2560">
        <w:t xml:space="preserve">quality assurance, </w:t>
      </w:r>
      <w:r>
        <w:t>quantification</w:t>
      </w:r>
      <w:r w:rsidR="00BE2560">
        <w:t>, PCR amplification, as well as the NGS platform itself.  The drug LYNPARZA has a registered trademark.</w:t>
      </w:r>
    </w:p>
    <w:p w:rsidR="00C22AD8"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0A063D" w:rsidRPr="000A063D" w:rsidRDefault="00BE2560" w:rsidP="004549F1">
      <w:pPr>
        <w:ind w:left="360"/>
      </w:pPr>
      <w:r>
        <w:lastRenderedPageBreak/>
        <w:t xml:space="preserve">The tumour testing approach to </w:t>
      </w:r>
      <w:r w:rsidR="004549F1">
        <w:t xml:space="preserve">identify somatic </w:t>
      </w:r>
      <w:r>
        <w:t xml:space="preserve">BRCA1/2 </w:t>
      </w:r>
      <w:r w:rsidR="004549F1">
        <w:t>mutations is relatively new and is not yet reimbursed on the MBS.  Using this approach to testing could identify new patients with somatic BRCA1/2 mutations who could potentially benefit from PARP inhibitor treatment with L</w:t>
      </w:r>
      <w:r w:rsidR="00652573">
        <w:t>YNPARZA.  These p</w:t>
      </w:r>
      <w:r w:rsidR="004549F1">
        <w:t>latinum sensitive, relapsed HGSOC patients are not currently eligible for reimbursed LYNPARZA and have no treatment alternatives.  Therefore, this approach represents a new approach to both testing and treatment.</w:t>
      </w:r>
    </w:p>
    <w:p w:rsidR="006B1B4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0A063D" w:rsidRPr="000A063D" w:rsidRDefault="004549F1" w:rsidP="00BE2560">
      <w:pPr>
        <w:ind w:left="360"/>
      </w:pPr>
      <w:r>
        <w:t xml:space="preserve">It is unlikely that patients </w:t>
      </w:r>
      <w:r w:rsidR="00A36F23">
        <w:t xml:space="preserve">would require more than one somatic BRCA1/2 test in their lifetime.  There </w:t>
      </w:r>
      <w:proofErr w:type="gramStart"/>
      <w:r w:rsidR="00A36F23">
        <w:t>are</w:t>
      </w:r>
      <w:proofErr w:type="gramEnd"/>
      <w:r w:rsidR="00A36F23">
        <w:t xml:space="preserve"> a number of DNA quality assurance checks during the process outlined in Q28 a</w:t>
      </w:r>
      <w:r w:rsidR="00490A5B">
        <w:t>bove to determine</w:t>
      </w:r>
      <w:r w:rsidR="00A36F23">
        <w:t xml:space="preserve"> if the sample is adequate to progress to the next step</w:t>
      </w:r>
      <w:r w:rsidR="00490A5B">
        <w:t>, minimising re-testing</w:t>
      </w:r>
      <w:r w:rsidR="00A36F23">
        <w:t>.</w:t>
      </w:r>
    </w:p>
    <w:p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0A063D" w:rsidRPr="000A063D" w:rsidRDefault="00490A5B" w:rsidP="00490A5B">
      <w:pPr>
        <w:ind w:left="360"/>
      </w:pPr>
      <w:r>
        <w:t>No genetic counselling services are required for platinum sensitive, relapsed HGSOC patients who test positive for somatic BRCA1/2 gene mutations.  No additional medical services are required at the same time as tumour BRCA1/2 testing.</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0A063D" w:rsidP="00884E69">
      <w:pPr>
        <w:ind w:left="426"/>
        <w:rPr>
          <w:szCs w:val="20"/>
        </w:rPr>
      </w:pPr>
      <w:bookmarkStart w:id="12" w:name="_Hlk506986714"/>
      <w:bookmarkStart w:id="13" w:name="_Hlk506986884"/>
      <w:r>
        <w:t xml:space="preserve">Tumour </w:t>
      </w:r>
      <w:r w:rsidR="00490A5B">
        <w:t xml:space="preserve">testing to identify </w:t>
      </w:r>
      <w:r>
        <w:t xml:space="preserve">BRCA1/2 </w:t>
      </w:r>
      <w:r w:rsidR="00490A5B">
        <w:t>gene mutations</w:t>
      </w:r>
      <w:r w:rsidR="001D556F">
        <w:t xml:space="preserve"> </w:t>
      </w:r>
      <w:bookmarkEnd w:id="12"/>
      <w:r w:rsidR="001D556F">
        <w:t xml:space="preserve">should be conducted </w:t>
      </w:r>
      <w:r w:rsidR="00613400">
        <w:t xml:space="preserve">and the results interpreted and reported </w:t>
      </w:r>
      <w:r w:rsidR="001D556F">
        <w:t xml:space="preserve">by suitably qualified and trained </w:t>
      </w:r>
      <w:r w:rsidR="009F753E">
        <w:t xml:space="preserve">molecular </w:t>
      </w:r>
      <w:r w:rsidR="001D556F">
        <w:t>pathologists.</w:t>
      </w:r>
      <w:r w:rsidR="009F753E">
        <w:t xml:space="preserve">  Tumour testing should be conducted in specialist laboratories holding the appropriate accreditation and registration for this diagnostic testing procedure.</w:t>
      </w:r>
    </w:p>
    <w:bookmarkEnd w:id="13"/>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1D556F" w:rsidP="00884E69">
      <w:pPr>
        <w:ind w:left="426"/>
        <w:rPr>
          <w:szCs w:val="20"/>
        </w:rPr>
      </w:pPr>
      <w:r>
        <w:t>Not applicable.</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255D2E" w:rsidRDefault="00255D2E" w:rsidP="00255D2E">
      <w:pPr>
        <w:ind w:left="360"/>
      </w:pPr>
      <w:r>
        <w:t xml:space="preserve">Tumour testing to identify BRCA1/2 gene mutations in patients with platinum sensitive, relapsed HGSOC </w:t>
      </w:r>
      <w:r w:rsidR="009F753E">
        <w:t xml:space="preserve">should </w:t>
      </w:r>
      <w:r w:rsidR="0040218F">
        <w:t>be bas</w:t>
      </w:r>
      <w:r w:rsidR="00DD11C0">
        <w:t>ed on a referral request from a specialist or consultant physician</w:t>
      </w:r>
      <w:r w:rsidR="009F753E">
        <w:t xml:space="preserve"> </w:t>
      </w:r>
      <w:r w:rsidR="0040218F">
        <w:t xml:space="preserve">and should not be </w:t>
      </w:r>
      <w:r w:rsidR="008F6261">
        <w:t>pathologist determinable</w:t>
      </w:r>
      <w:r w:rsidR="004276FD">
        <w:t>.</w:t>
      </w:r>
    </w:p>
    <w:p w:rsidR="00EA0E25" w:rsidRDefault="00EA0E25" w:rsidP="006808EF">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255D2E" w:rsidRPr="00255D2E" w:rsidRDefault="00255D2E" w:rsidP="00255D2E">
      <w:pPr>
        <w:ind w:left="360"/>
        <w:rPr>
          <w:szCs w:val="20"/>
        </w:rPr>
      </w:pPr>
      <w:r>
        <w:t>Tumour testing to identify BRCA1/2 gene mutations should be conducted and the results interpreted and reported by suitably q</w:t>
      </w:r>
      <w:r w:rsidR="00F8694A">
        <w:t xml:space="preserve">ualified and trained </w:t>
      </w:r>
      <w:r>
        <w:t>molecular pathologists.  Tumour testing should be conducted in specialist laboratories holding the appropriate accreditation and registration for this diagnostic testing procedure.</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Residential aged care facility</w:t>
      </w:r>
    </w:p>
    <w:p w:rsidR="000A478F" w:rsidRDefault="00CD731D"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0A478F">
        <w:rPr>
          <w:szCs w:val="20"/>
        </w:rPr>
        <w:t xml:space="preserve"> </w:t>
      </w:r>
      <w:r w:rsidR="000A478F">
        <w:t>Patient’s home</w:t>
      </w:r>
    </w:p>
    <w:p w:rsidR="000A478F" w:rsidRDefault="00CD731D"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57E8">
        <w:rPr>
          <w:szCs w:val="20"/>
        </w:rPr>
      </w:r>
      <w:r w:rsidR="005B57E8">
        <w:rPr>
          <w:szCs w:val="20"/>
        </w:rPr>
        <w:fldChar w:fldCharType="separate"/>
      </w:r>
      <w:r w:rsidRPr="000A5B32">
        <w:rPr>
          <w:szCs w:val="20"/>
        </w:rPr>
        <w:fldChar w:fldCharType="end"/>
      </w:r>
      <w:r>
        <w:rPr>
          <w:szCs w:val="20"/>
        </w:rPr>
        <w:t xml:space="preserve"> </w:t>
      </w:r>
      <w:r>
        <w:t>Other – please specify below</w:t>
      </w:r>
    </w:p>
    <w:p w:rsidR="005F3F07" w:rsidRDefault="00CD731D" w:rsidP="0073597B">
      <w:pPr>
        <w:ind w:left="426"/>
        <w:rPr>
          <w:b/>
          <w:szCs w:val="20"/>
        </w:rPr>
      </w:pPr>
      <w:r>
        <w:t xml:space="preserve">The medical service will be conducted in pathology laboratories which may be </w:t>
      </w:r>
      <w:r w:rsidR="00696F7D">
        <w:t xml:space="preserve">private companies, or may be domiciled </w:t>
      </w:r>
      <w:r>
        <w:t>within privat</w:t>
      </w:r>
      <w:r w:rsidR="00696F7D">
        <w:t>e or public research institutes or</w:t>
      </w:r>
      <w:r>
        <w:t xml:space="preserve"> hospi</w:t>
      </w:r>
      <w:r w:rsidR="00696F7D">
        <w:t>tals.</w:t>
      </w:r>
    </w:p>
    <w:p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rsidR="0073597B" w:rsidRDefault="00696F7D" w:rsidP="0073597B">
      <w:pPr>
        <w:ind w:left="426"/>
        <w:rPr>
          <w:b/>
          <w:szCs w:val="20"/>
        </w:rPr>
      </w:pPr>
      <w:r>
        <w:t>Not applicable.</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696F7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14" w:name="Text1"/>
      <w:r>
        <w:instrText xml:space="preserve"> FORMTEXT </w:instrText>
      </w:r>
      <w:r>
        <w:fldChar w:fldCharType="separate"/>
      </w:r>
      <w:r>
        <w:rPr>
          <w:noProof/>
        </w:rPr>
        <w:t>Specify further details here</w:t>
      </w:r>
      <w:r>
        <w:fldChar w:fldCharType="end"/>
      </w:r>
      <w:bookmarkEnd w:id="14"/>
      <w:r w:rsidR="00C50716">
        <w:t xml:space="preserve">. </w:t>
      </w:r>
      <w:r w:rsidR="00820DEB">
        <w:t xml:space="preserve"> Not applicable</w:t>
      </w:r>
    </w:p>
    <w:p w:rsidR="000A478F" w:rsidRDefault="000A478F" w:rsidP="00881F93">
      <w:pPr>
        <w:rPr>
          <w:b/>
          <w:i/>
          <w:szCs w:val="20"/>
          <w:u w:val="single"/>
        </w:rPr>
      </w:pPr>
      <w:r>
        <w:rPr>
          <w:b/>
          <w:i/>
          <w:szCs w:val="20"/>
          <w:u w:val="single"/>
        </w:rPr>
        <w:br w:type="page"/>
      </w:r>
    </w:p>
    <w:p w:rsidR="00E60529" w:rsidRPr="00881F93" w:rsidRDefault="005C3AE7" w:rsidP="00A25888">
      <w:pPr>
        <w:pStyle w:val="Subtitle"/>
        <w:ind w:left="0"/>
      </w:pPr>
      <w:r>
        <w:lastRenderedPageBreak/>
        <w:t xml:space="preserve">PART 6c – </w:t>
      </w:r>
      <w:r w:rsidR="00E60529" w:rsidRPr="00881F93">
        <w:t>INFORMATION ABOUT THE COMPARATOR</w:t>
      </w:r>
      <w:r w:rsidR="00A83EC6" w:rsidRPr="00881F93">
        <w:t>(S)</w:t>
      </w:r>
    </w:p>
    <w:p w:rsidR="00E60529"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0A063D" w:rsidRDefault="00DB5B76" w:rsidP="00255D2E">
      <w:pPr>
        <w:ind w:left="360"/>
      </w:pPr>
      <w:r>
        <w:t xml:space="preserve">The nominated comparator for the medical service </w:t>
      </w:r>
      <w:r w:rsidR="00290476">
        <w:t xml:space="preserve">of tumour testing to detect somatic BRCA1/2 gene mutations </w:t>
      </w:r>
      <w:r w:rsidR="00F15112">
        <w:t xml:space="preserve">in patients with platinum sensitive, relapsed HGSOC and no germline BRCA1/2 mutations </w:t>
      </w:r>
      <w:r w:rsidR="00290476">
        <w:t xml:space="preserve">is </w:t>
      </w:r>
      <w:r w:rsidR="00290476" w:rsidRPr="00290476">
        <w:rPr>
          <w:b/>
        </w:rPr>
        <w:t>no testing</w:t>
      </w:r>
      <w:r w:rsidR="00290476">
        <w:t>.  Patients with platinum sensitive, relapsed HGSOC are eligible for MBS BRCA1/2 testing to detect germline BRCA1/2 gene mutations, but there is no MBS subsidy for tumour testing to detect somatic only BRCA1/2 mutations.</w:t>
      </w:r>
      <w:r w:rsidR="003B70DF">
        <w:t xml:space="preserve">  Similar MBS item numbers exist for blood-based testing for germline BRCA1/2 mutations (Items 73295, 73296, 73297), but the proposed tumour testing is in addition to, </w:t>
      </w:r>
      <w:r w:rsidR="00F15112">
        <w:t xml:space="preserve">and after germline BRCA1/2 status has been determined, rather than in place of </w:t>
      </w:r>
      <w:r w:rsidR="003B70DF">
        <w:t>these tests.</w:t>
      </w:r>
    </w:p>
    <w:p w:rsidR="003B70DF" w:rsidRPr="000A063D" w:rsidRDefault="003B70DF" w:rsidP="00255D2E">
      <w:pPr>
        <w:ind w:left="360"/>
      </w:pPr>
      <w:r>
        <w:t xml:space="preserve">The nominated comparator for </w:t>
      </w:r>
      <w:proofErr w:type="spellStart"/>
      <w:r>
        <w:t>olaparib</w:t>
      </w:r>
      <w:proofErr w:type="spellEnd"/>
      <w:r>
        <w:t xml:space="preserve"> treatment in patients with platinum sensitive, relapsed HGSOC is </w:t>
      </w:r>
      <w:r w:rsidR="002519D1">
        <w:t>watch and wait</w:t>
      </w:r>
      <w:r w:rsidR="001A73D9">
        <w:t>, or no active anticancer treatment</w:t>
      </w:r>
      <w:r w:rsidR="002571D5">
        <w:t xml:space="preserve">.  </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Yes (please provide all relevant MBS item numbers below)</w:t>
      </w:r>
    </w:p>
    <w:p w:rsidR="000159B9" w:rsidRDefault="004B5912"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A1038">
        <w:rPr>
          <w:szCs w:val="20"/>
        </w:rPr>
        <w:t xml:space="preserve"> No  </w:t>
      </w:r>
    </w:p>
    <w:p w:rsidR="000159B9" w:rsidRDefault="001B29A1" w:rsidP="001B29A1">
      <w:pPr>
        <w:ind w:left="426"/>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r w:rsidR="00FC5FFD">
        <w:t>:</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4117A3" w:rsidRDefault="004117A3" w:rsidP="00285C2A">
      <w:pPr>
        <w:ind w:left="360"/>
      </w:pPr>
      <w:bookmarkStart w:id="15" w:name="_Hlk507170825"/>
      <w:r>
        <w:t xml:space="preserve">Please refer to the Microsoft Visio Attachment to this application, </w:t>
      </w:r>
      <w:r w:rsidR="00B23BF8">
        <w:t>“</w:t>
      </w:r>
      <w:r w:rsidR="000A063D">
        <w:t>HGSOC</w:t>
      </w:r>
      <w:r w:rsidR="00C5521A">
        <w:t xml:space="preserve"> </w:t>
      </w:r>
      <w:r w:rsidR="00200340">
        <w:t>Algorithms</w:t>
      </w:r>
      <w:r w:rsidR="00B23BF8">
        <w:t>”</w:t>
      </w:r>
      <w:r w:rsidR="00200340">
        <w:t xml:space="preserve">, and </w:t>
      </w:r>
      <w:r w:rsidR="0070464E">
        <w:t>“Proposed</w:t>
      </w:r>
      <w:r>
        <w:t>” drawing for an editable version of the flowchart below.</w:t>
      </w:r>
    </w:p>
    <w:p w:rsidR="000D2637" w:rsidRDefault="000D2637" w:rsidP="00285C2A">
      <w:pPr>
        <w:ind w:left="360"/>
      </w:pPr>
      <w:r>
        <w:t>In Q27 it was outlined in the current treatment algorithm that patients who are germline</w:t>
      </w:r>
      <w:r w:rsidR="00286240">
        <w:t xml:space="preserve"> BRCA1/2 wild type </w:t>
      </w:r>
      <w:r>
        <w:t>(whether this is determined by an “ea</w:t>
      </w:r>
      <w:r w:rsidR="00CF179D">
        <w:t>rly” or “late” blood-based test) and have a tumour sensitive to chemotherapy but have relapsed, and have completed at least two courses of platinum-based doublet chemotherapy currently need to “wait and wait</w:t>
      </w:r>
      <w:r w:rsidR="00075F6A">
        <w:t xml:space="preserve">” (no active anticancer treatment).  These patients are not eligible for tumour tissue testing to detect somatic BRCA1/2 gene mutations and are also not eligible for </w:t>
      </w:r>
      <w:proofErr w:type="spellStart"/>
      <w:r w:rsidR="00075F6A">
        <w:t>olaparib</w:t>
      </w:r>
      <w:proofErr w:type="spellEnd"/>
      <w:r w:rsidR="00075F6A">
        <w:t xml:space="preserve"> maintenance treatment.</w:t>
      </w:r>
    </w:p>
    <w:p w:rsidR="00075F6A" w:rsidRDefault="00075F6A" w:rsidP="00285C2A">
      <w:pPr>
        <w:ind w:left="360"/>
      </w:pPr>
      <w:bookmarkStart w:id="16" w:name="_Hlk507337698"/>
      <w:r>
        <w:t>In the proposed clinical treatment algorithm below, the different treatment pathway for patients who might otherwise receive no tumour tissue testing and “watch and wait” treatment is highlighted in red.</w:t>
      </w:r>
    </w:p>
    <w:p w:rsidR="00C369CF" w:rsidRPr="00C94F16" w:rsidRDefault="00B0080E" w:rsidP="00C94F16">
      <w:pPr>
        <w:ind w:left="360"/>
      </w:pPr>
      <w:r>
        <w:t>HGSOC patients who are germline BRCA1/2 mutant may be tested “early” from diagnosis or may be tested “late</w:t>
      </w:r>
      <w:r w:rsidR="00521EB8">
        <w:t>”</w:t>
      </w:r>
      <w:r>
        <w:t xml:space="preserve"> following relapse after 1</w:t>
      </w:r>
      <w:r w:rsidRPr="00B0080E">
        <w:rPr>
          <w:vertAlign w:val="superscript"/>
        </w:rPr>
        <w:t>st</w:t>
      </w:r>
      <w:r>
        <w:t xml:space="preserve"> line </w:t>
      </w:r>
      <w:r w:rsidR="00B14D0B">
        <w:t xml:space="preserve">platinum </w:t>
      </w:r>
      <w:r>
        <w:t>chemotherapy</w:t>
      </w:r>
      <w:r w:rsidR="00521EB8">
        <w:t xml:space="preserve">.  These patients will become eligible for </w:t>
      </w:r>
      <w:proofErr w:type="spellStart"/>
      <w:r w:rsidR="00521EB8">
        <w:t>olaparib</w:t>
      </w:r>
      <w:proofErr w:type="spellEnd"/>
      <w:r w:rsidR="00521EB8">
        <w:t xml:space="preserve"> after completion of 2</w:t>
      </w:r>
      <w:r w:rsidR="00521EB8" w:rsidRPr="00521EB8">
        <w:rPr>
          <w:vertAlign w:val="superscript"/>
        </w:rPr>
        <w:t>nd</w:t>
      </w:r>
      <w:r w:rsidR="00521EB8">
        <w:t xml:space="preserve"> line </w:t>
      </w:r>
      <w:r w:rsidR="00B14D0B">
        <w:t xml:space="preserve">platinum </w:t>
      </w:r>
      <w:r w:rsidR="00521EB8">
        <w:t xml:space="preserve">chemotherapy </w:t>
      </w:r>
      <w:bookmarkStart w:id="17" w:name="_Hlk508022816"/>
      <w:r w:rsidR="00521EB8">
        <w:t>if they have a response (complete or partial) after a 6 month or greater platinum free interval.</w:t>
      </w:r>
      <w:bookmarkEnd w:id="17"/>
      <w:r w:rsidR="00521EB8">
        <w:t xml:space="preserve"> </w:t>
      </w:r>
      <w:r>
        <w:t xml:space="preserve"> HGSOC p</w:t>
      </w:r>
      <w:r w:rsidR="004A2610">
        <w:t>atients who are germline</w:t>
      </w:r>
      <w:r w:rsidR="00B14D0B">
        <w:t xml:space="preserve"> BRCA1/2 wild-</w:t>
      </w:r>
      <w:r w:rsidR="00286240">
        <w:t xml:space="preserve">type </w:t>
      </w:r>
      <w:r w:rsidR="004A2610">
        <w:t>(whether this is determined by an “early” or “late” blood-based test</w:t>
      </w:r>
      <w:r w:rsidR="00521EB8">
        <w:t>) and have relapsed after 1</w:t>
      </w:r>
      <w:r w:rsidR="00521EB8" w:rsidRPr="00521EB8">
        <w:rPr>
          <w:vertAlign w:val="superscript"/>
        </w:rPr>
        <w:t>st</w:t>
      </w:r>
      <w:r w:rsidR="00521EB8">
        <w:t xml:space="preserve"> line </w:t>
      </w:r>
      <w:r w:rsidR="00B14D0B">
        <w:t xml:space="preserve">platinum chemotherapy </w:t>
      </w:r>
      <w:r w:rsidR="004A2610">
        <w:t xml:space="preserve">would then become eligible for tumour testing to detect somatic BRCA1/2 gene mutations.  </w:t>
      </w:r>
      <w:r w:rsidR="00D57514">
        <w:t>If a somatic BRCA1/2 mutation is detected the patient would be eligib</w:t>
      </w:r>
      <w:r w:rsidR="00B14D0B">
        <w:t xml:space="preserve">le for PBS </w:t>
      </w:r>
      <w:proofErr w:type="spellStart"/>
      <w:r w:rsidR="00B14D0B">
        <w:t>olaparib</w:t>
      </w:r>
      <w:proofErr w:type="spellEnd"/>
      <w:r w:rsidR="00B14D0B">
        <w:t xml:space="preserve"> </w:t>
      </w:r>
      <w:r w:rsidR="00D57514">
        <w:t>treatment</w:t>
      </w:r>
      <w:r w:rsidR="00B14D0B">
        <w:t xml:space="preserve"> after completion of second line therapy</w:t>
      </w:r>
      <w:r w:rsidR="00B14D0B" w:rsidRPr="00B14D0B">
        <w:t xml:space="preserve"> </w:t>
      </w:r>
      <w:r w:rsidR="00B14D0B">
        <w:t>if they have a response (complete or partial) after a 6 month or greater platinum free interval.  Patients who are wild-type for</w:t>
      </w:r>
      <w:r w:rsidR="00D57514">
        <w:t xml:space="preserve"> a somatic BRCA1/2 gene mutation would receive “watch and wait” or no active anticancer treatment</w:t>
      </w:r>
      <w:r w:rsidR="00B14D0B">
        <w:t xml:space="preserve"> after completion of second line chemotherapy</w:t>
      </w:r>
      <w:r w:rsidR="00D57514">
        <w:t>.</w:t>
      </w:r>
      <w:bookmarkEnd w:id="15"/>
      <w:bookmarkEnd w:id="16"/>
    </w:p>
    <w:p w:rsidR="00C369CF" w:rsidRDefault="00AA18E8" w:rsidP="00C369CF">
      <w:pPr>
        <w:ind w:left="360"/>
        <w:rPr>
          <w:szCs w:val="20"/>
          <w:highlight w:val="yellow"/>
        </w:rPr>
      </w:pPr>
      <w:r w:rsidRPr="00AA18E8">
        <w:rPr>
          <w:noProof/>
          <w:lang w:eastAsia="en-AU"/>
        </w:rPr>
        <w:lastRenderedPageBreak/>
        <w:drawing>
          <wp:inline distT="0" distB="0" distL="0" distR="0" wp14:anchorId="0438DDC3" wp14:editId="5038D8BA">
            <wp:extent cx="5731510" cy="3475355"/>
            <wp:effectExtent l="0" t="0" r="2540" b="0"/>
            <wp:docPr id="5" name="Picture 5" descr="Diagram" title="current clinical management pathway that patients may follow after they receive the medical service nominated as the compar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3475355"/>
                    </a:xfrm>
                    <a:prstGeom prst="rect">
                      <a:avLst/>
                    </a:prstGeom>
                  </pic:spPr>
                </pic:pic>
              </a:graphicData>
            </a:graphic>
          </wp:inline>
        </w:drawing>
      </w:r>
    </w:p>
    <w:p w:rsidR="00286240" w:rsidRDefault="00286240" w:rsidP="00C369CF">
      <w:pPr>
        <w:ind w:left="360"/>
        <w:rPr>
          <w:szCs w:val="20"/>
          <w:highlight w:val="yellow"/>
        </w:rPr>
      </w:pPr>
    </w:p>
    <w:p w:rsidR="00286240" w:rsidRPr="009571AA" w:rsidRDefault="009571AA" w:rsidP="009571AA">
      <w:pPr>
        <w:ind w:left="357"/>
        <w:rPr>
          <w:sz w:val="18"/>
          <w:szCs w:val="18"/>
        </w:rPr>
      </w:pPr>
      <w:r w:rsidRPr="009924A3">
        <w:rPr>
          <w:sz w:val="18"/>
          <w:szCs w:val="18"/>
        </w:rPr>
        <w:t xml:space="preserve">Abbreviations: </w:t>
      </w:r>
      <w:proofErr w:type="spellStart"/>
      <w:r w:rsidRPr="009924A3">
        <w:rPr>
          <w:sz w:val="18"/>
          <w:szCs w:val="18"/>
        </w:rPr>
        <w:t>gBRCA</w:t>
      </w:r>
      <w:proofErr w:type="spellEnd"/>
      <w:r w:rsidRPr="009924A3">
        <w:rPr>
          <w:sz w:val="18"/>
          <w:szCs w:val="18"/>
        </w:rPr>
        <w:t xml:space="preserve"> germline BR</w:t>
      </w:r>
      <w:r>
        <w:rPr>
          <w:sz w:val="18"/>
          <w:szCs w:val="18"/>
        </w:rPr>
        <w:t xml:space="preserve">CA1 or BRCA2; </w:t>
      </w:r>
      <w:proofErr w:type="spellStart"/>
      <w:r>
        <w:rPr>
          <w:sz w:val="18"/>
          <w:szCs w:val="18"/>
        </w:rPr>
        <w:t>wt</w:t>
      </w:r>
      <w:proofErr w:type="spellEnd"/>
      <w:r>
        <w:rPr>
          <w:sz w:val="18"/>
          <w:szCs w:val="18"/>
        </w:rPr>
        <w:t xml:space="preserve"> wild type;</w:t>
      </w:r>
      <w:r w:rsidRPr="009924A3">
        <w:rPr>
          <w:sz w:val="18"/>
          <w:szCs w:val="18"/>
        </w:rPr>
        <w:t xml:space="preserve"> </w:t>
      </w:r>
      <w:proofErr w:type="spellStart"/>
      <w:r>
        <w:rPr>
          <w:sz w:val="18"/>
          <w:szCs w:val="18"/>
        </w:rPr>
        <w:t>sBRCA</w:t>
      </w:r>
      <w:proofErr w:type="spellEnd"/>
      <w:r>
        <w:rPr>
          <w:sz w:val="18"/>
          <w:szCs w:val="18"/>
        </w:rPr>
        <w:t xml:space="preserve"> somatic BRCA1/2; HGSOC high grade serous ovarian cancer</w:t>
      </w:r>
    </w:p>
    <w:p w:rsidR="00C369CF" w:rsidRDefault="00C369CF" w:rsidP="00C369CF">
      <w:pPr>
        <w:ind w:left="360"/>
        <w:rPr>
          <w:szCs w:val="20"/>
          <w:highlight w:val="yellow"/>
        </w:rPr>
      </w:pP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A02C2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1B29A1">
        <w:rPr>
          <w:szCs w:val="20"/>
        </w:rPr>
        <w:t xml:space="preserve"> Yes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57E8">
        <w:rPr>
          <w:szCs w:val="20"/>
        </w:rPr>
      </w:r>
      <w:r w:rsidR="005B57E8">
        <w:rPr>
          <w:szCs w:val="20"/>
        </w:rPr>
        <w:fldChar w:fldCharType="separate"/>
      </w:r>
      <w:r w:rsidRPr="00753C44">
        <w:rPr>
          <w:szCs w:val="20"/>
        </w:rPr>
        <w:fldChar w:fldCharType="end"/>
      </w:r>
      <w:r>
        <w:rPr>
          <w:szCs w:val="20"/>
        </w:rPr>
        <w:t xml:space="preserve"> No</w:t>
      </w:r>
    </w:p>
    <w:p w:rsidR="00A02C23" w:rsidRDefault="00A02C23" w:rsidP="001B29A1">
      <w:pPr>
        <w:spacing w:before="0" w:after="0"/>
        <w:ind w:left="426"/>
        <w:rPr>
          <w:szCs w:val="20"/>
        </w:rPr>
      </w:pPr>
    </w:p>
    <w:p w:rsidR="002571D5" w:rsidRDefault="002571D5" w:rsidP="001B29A1">
      <w:pPr>
        <w:spacing w:before="0" w:after="0"/>
        <w:ind w:left="426"/>
        <w:rPr>
          <w:szCs w:val="20"/>
        </w:rPr>
      </w:pPr>
      <w:r>
        <w:rPr>
          <w:szCs w:val="20"/>
        </w:rPr>
        <w:t xml:space="preserve">The proposed medical service will be used in addition to the similar </w:t>
      </w:r>
      <w:r w:rsidR="00620E0C">
        <w:rPr>
          <w:szCs w:val="20"/>
        </w:rPr>
        <w:t xml:space="preserve">MBS </w:t>
      </w:r>
      <w:r>
        <w:rPr>
          <w:szCs w:val="20"/>
        </w:rPr>
        <w:t>service</w:t>
      </w:r>
      <w:r w:rsidR="00620E0C">
        <w:rPr>
          <w:szCs w:val="20"/>
        </w:rPr>
        <w:t>s</w:t>
      </w:r>
      <w:r>
        <w:rPr>
          <w:szCs w:val="20"/>
        </w:rPr>
        <w:t xml:space="preserve"> of blood-based testing to detect germline BRCA1/2 mutations.  The proposed </w:t>
      </w:r>
      <w:r w:rsidR="00620E0C">
        <w:rPr>
          <w:szCs w:val="20"/>
        </w:rPr>
        <w:t>medical service will be used instead</w:t>
      </w:r>
      <w:r>
        <w:rPr>
          <w:szCs w:val="20"/>
        </w:rPr>
        <w:t xml:space="preserve"> of no </w:t>
      </w:r>
      <w:r w:rsidR="00620E0C">
        <w:rPr>
          <w:szCs w:val="20"/>
        </w:rPr>
        <w:t xml:space="preserve">tumour </w:t>
      </w:r>
      <w:r>
        <w:rPr>
          <w:szCs w:val="20"/>
        </w:rPr>
        <w:t xml:space="preserve">testing </w:t>
      </w:r>
      <w:r w:rsidR="000769C4">
        <w:rPr>
          <w:szCs w:val="20"/>
        </w:rPr>
        <w:t xml:space="preserve">to detect somatic mutations </w:t>
      </w:r>
      <w:r w:rsidR="00620E0C">
        <w:rPr>
          <w:szCs w:val="20"/>
        </w:rPr>
        <w:t xml:space="preserve">for these patients.  </w:t>
      </w:r>
      <w:proofErr w:type="spellStart"/>
      <w:r w:rsidR="00620E0C">
        <w:rPr>
          <w:szCs w:val="20"/>
        </w:rPr>
        <w:t>Olaparib</w:t>
      </w:r>
      <w:proofErr w:type="spellEnd"/>
      <w:r w:rsidR="00620E0C">
        <w:rPr>
          <w:szCs w:val="20"/>
        </w:rPr>
        <w:t xml:space="preserve"> treatment will be used instead of </w:t>
      </w:r>
      <w:r w:rsidR="002519D1">
        <w:rPr>
          <w:szCs w:val="20"/>
        </w:rPr>
        <w:t xml:space="preserve">watch and wait, or </w:t>
      </w:r>
      <w:r w:rsidR="00620E0C">
        <w:rPr>
          <w:szCs w:val="20"/>
        </w:rPr>
        <w:t>no active anticancer treatment</w:t>
      </w:r>
      <w:r w:rsidR="001A73D9">
        <w:rPr>
          <w:szCs w:val="20"/>
        </w:rPr>
        <w:t xml:space="preserve"> in these patients</w:t>
      </w:r>
      <w:r w:rsidR="00620E0C">
        <w:rPr>
          <w:szCs w:val="20"/>
        </w:rPr>
        <w:t>.</w:t>
      </w:r>
    </w:p>
    <w:p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BC7B7D" w:rsidP="001B29A1">
      <w:pPr>
        <w:ind w:left="426"/>
        <w:rPr>
          <w:szCs w:val="20"/>
        </w:rPr>
      </w:pPr>
      <w:proofErr w:type="gramStart"/>
      <w:r>
        <w:t xml:space="preserve">Up to </w:t>
      </w:r>
      <w:r w:rsidR="00A02C23">
        <w:t>100% substitution</w:t>
      </w:r>
      <w:r w:rsidR="000A063D">
        <w:t xml:space="preserve"> of no </w:t>
      </w:r>
      <w:r w:rsidR="00C129D0">
        <w:t xml:space="preserve">tumour testing for somatic BRCA1/2 mutations </w:t>
      </w:r>
      <w:r w:rsidR="000A063D">
        <w:t xml:space="preserve">with </w:t>
      </w:r>
      <w:r w:rsidR="00641FBC">
        <w:t>testing</w:t>
      </w:r>
      <w:r w:rsidR="00C129D0">
        <w:t xml:space="preserve"> for somatic BRCA1/2 mutations</w:t>
      </w:r>
      <w:r w:rsidR="00641FBC">
        <w:t>.</w:t>
      </w:r>
      <w:proofErr w:type="gramEnd"/>
      <w:r w:rsidR="00641FBC">
        <w:t xml:space="preserve">  </w:t>
      </w:r>
      <w:proofErr w:type="gramStart"/>
      <w:r w:rsidR="00641FBC">
        <w:t xml:space="preserve">Up to 100% substitution of </w:t>
      </w:r>
      <w:r w:rsidR="005D1F25">
        <w:t xml:space="preserve">no </w:t>
      </w:r>
      <w:r w:rsidR="00C129D0">
        <w:t xml:space="preserve">active anticancer </w:t>
      </w:r>
      <w:r w:rsidR="005D1F25">
        <w:t xml:space="preserve">treatment </w:t>
      </w:r>
      <w:r w:rsidR="00C129D0">
        <w:t xml:space="preserve">for patients with somatic BRCA1/2 mutations </w:t>
      </w:r>
      <w:r w:rsidR="001A73D9">
        <w:t xml:space="preserve">with </w:t>
      </w:r>
      <w:proofErr w:type="spellStart"/>
      <w:r w:rsidR="001A73D9">
        <w:t>olaparib</w:t>
      </w:r>
      <w:proofErr w:type="spellEnd"/>
      <w:r w:rsidR="001A73D9">
        <w:t xml:space="preserve"> treatment.</w:t>
      </w:r>
      <w:proofErr w:type="gramEnd"/>
      <w:r w:rsidR="00C129D0">
        <w:t xml:space="preserve"> Patients who are somatic BRCA1/2 wild-type will continue to receive no active anticancer treatment.</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43438A" w:rsidRDefault="0043438A" w:rsidP="0043438A">
      <w:pPr>
        <w:ind w:left="357"/>
      </w:pPr>
      <w:r>
        <w:t>Please refer to the Microsoft Visio Attachme</w:t>
      </w:r>
      <w:r w:rsidR="005D1F25">
        <w:t>nt to this application, HGSOC</w:t>
      </w:r>
      <w:r>
        <w:t xml:space="preserve"> Algorithms, and “Proposed” drawing for an editable version of the flowchart below.</w:t>
      </w:r>
    </w:p>
    <w:p w:rsidR="00F953D3" w:rsidRDefault="00F953D3" w:rsidP="00F953D3">
      <w:pPr>
        <w:ind w:left="360"/>
      </w:pPr>
      <w:r>
        <w:t>In the propos</w:t>
      </w:r>
      <w:r w:rsidR="00DD4FE1">
        <w:t xml:space="preserve">ed clinical treatment algorithm, reproduced again </w:t>
      </w:r>
      <w:r>
        <w:t>below, the different treatment pathway for patients who might otherwise receive no tumour tissue testing and “watch and wait” treatment is highlighted in red.</w:t>
      </w:r>
    </w:p>
    <w:p w:rsidR="000769C4" w:rsidRDefault="000769C4" w:rsidP="000769C4">
      <w:pPr>
        <w:ind w:left="360"/>
      </w:pPr>
      <w:r>
        <w:t>HGSOC patients who are germline BRCA1/2 mutant may be tested “early” from diagnosis or may be tested “late” following relapse after 1</w:t>
      </w:r>
      <w:r w:rsidRPr="00B0080E">
        <w:rPr>
          <w:vertAlign w:val="superscript"/>
        </w:rPr>
        <w:t>st</w:t>
      </w:r>
      <w:r>
        <w:t xml:space="preserve"> line platinum chemotherapy.  These patients will become eligible for </w:t>
      </w:r>
      <w:proofErr w:type="spellStart"/>
      <w:r>
        <w:lastRenderedPageBreak/>
        <w:t>olaparib</w:t>
      </w:r>
      <w:proofErr w:type="spellEnd"/>
      <w:r>
        <w:t xml:space="preserve"> after completion of 2</w:t>
      </w:r>
      <w:r w:rsidRPr="00521EB8">
        <w:rPr>
          <w:vertAlign w:val="superscript"/>
        </w:rPr>
        <w:t>nd</w:t>
      </w:r>
      <w:r>
        <w:t xml:space="preserve"> line platinum chemotherapy if they have a response (complete or partial) after a 6 month or greater platinum free interval.  HGSOC patients who are germline BRCA1/2 wild-type (whether this is determined by an “early” or “late” blood-based test) and have relapsed after 1</w:t>
      </w:r>
      <w:r w:rsidRPr="00521EB8">
        <w:rPr>
          <w:vertAlign w:val="superscript"/>
        </w:rPr>
        <w:t>st</w:t>
      </w:r>
      <w:r>
        <w:t xml:space="preserve"> line platinum chemotherapy would then become eligible for tumour testing to detect somatic BRCA1/2 gene mutations.  If a somatic BRCA1/2 mutation is detected the patient would be eligible for PBS </w:t>
      </w:r>
      <w:proofErr w:type="spellStart"/>
      <w:r>
        <w:t>olaparib</w:t>
      </w:r>
      <w:proofErr w:type="spellEnd"/>
      <w:r>
        <w:t xml:space="preserve"> treatment after completion of second line therapy</w:t>
      </w:r>
      <w:r w:rsidRPr="00B14D0B">
        <w:t xml:space="preserve"> </w:t>
      </w:r>
      <w:r>
        <w:t>if they have a response (complete or partial) after a 6 month or greater platinum free interval.  Patients who are wild-type for a somatic BRCA1/2 gene mutation would receive “watch and wait” or no active anticancer treatment after completion of second line chemotherapy.</w:t>
      </w:r>
    </w:p>
    <w:p w:rsidR="000769C4" w:rsidRDefault="000769C4" w:rsidP="00DD4FE1">
      <w:pPr>
        <w:ind w:left="360"/>
      </w:pPr>
    </w:p>
    <w:p w:rsidR="00C369CF" w:rsidRDefault="00C369CF" w:rsidP="0043438A">
      <w:pPr>
        <w:ind w:left="357"/>
      </w:pPr>
    </w:p>
    <w:p w:rsidR="00C369CF" w:rsidRDefault="00155C36" w:rsidP="0043438A">
      <w:pPr>
        <w:ind w:left="357"/>
      </w:pPr>
      <w:r w:rsidRPr="00155C36">
        <w:rPr>
          <w:noProof/>
          <w:lang w:eastAsia="en-AU"/>
        </w:rPr>
        <w:drawing>
          <wp:inline distT="0" distB="0" distL="0" distR="0" wp14:anchorId="0BBD3892" wp14:editId="5D5B7D62">
            <wp:extent cx="5731510" cy="3475355"/>
            <wp:effectExtent l="0" t="0" r="2540" b="0"/>
            <wp:docPr id="8" name="Picture 8" descr="Diagram" title="Diagram showing how current clinical management pathways (from the point of service delivery onwards) are expected to change as a consequence of introducing the proposed medical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31510" cy="3475355"/>
                    </a:xfrm>
                    <a:prstGeom prst="rect">
                      <a:avLst/>
                    </a:prstGeom>
                  </pic:spPr>
                </pic:pic>
              </a:graphicData>
            </a:graphic>
          </wp:inline>
        </w:drawing>
      </w:r>
    </w:p>
    <w:p w:rsidR="00C369CF" w:rsidRDefault="00C369CF" w:rsidP="0043438A">
      <w:pPr>
        <w:ind w:left="357"/>
      </w:pPr>
    </w:p>
    <w:p w:rsidR="009571AA" w:rsidRPr="009571AA" w:rsidRDefault="009571AA" w:rsidP="009571AA">
      <w:pPr>
        <w:ind w:left="357"/>
        <w:rPr>
          <w:sz w:val="18"/>
          <w:szCs w:val="18"/>
        </w:rPr>
      </w:pPr>
      <w:r w:rsidRPr="009924A3">
        <w:rPr>
          <w:sz w:val="18"/>
          <w:szCs w:val="18"/>
        </w:rPr>
        <w:t xml:space="preserve">Abbreviations: </w:t>
      </w:r>
      <w:proofErr w:type="spellStart"/>
      <w:r w:rsidRPr="009924A3">
        <w:rPr>
          <w:sz w:val="18"/>
          <w:szCs w:val="18"/>
        </w:rPr>
        <w:t>gBRCA</w:t>
      </w:r>
      <w:proofErr w:type="spellEnd"/>
      <w:r w:rsidRPr="009924A3">
        <w:rPr>
          <w:sz w:val="18"/>
          <w:szCs w:val="18"/>
        </w:rPr>
        <w:t xml:space="preserve"> germline BR</w:t>
      </w:r>
      <w:r>
        <w:rPr>
          <w:sz w:val="18"/>
          <w:szCs w:val="18"/>
        </w:rPr>
        <w:t xml:space="preserve">CA1 or BRCA2; </w:t>
      </w:r>
      <w:proofErr w:type="spellStart"/>
      <w:r>
        <w:rPr>
          <w:sz w:val="18"/>
          <w:szCs w:val="18"/>
        </w:rPr>
        <w:t>wt</w:t>
      </w:r>
      <w:proofErr w:type="spellEnd"/>
      <w:r>
        <w:rPr>
          <w:sz w:val="18"/>
          <w:szCs w:val="18"/>
        </w:rPr>
        <w:t xml:space="preserve"> wild type;</w:t>
      </w:r>
      <w:r w:rsidRPr="009924A3">
        <w:rPr>
          <w:sz w:val="18"/>
          <w:szCs w:val="18"/>
        </w:rPr>
        <w:t xml:space="preserve"> </w:t>
      </w:r>
      <w:proofErr w:type="spellStart"/>
      <w:r>
        <w:rPr>
          <w:sz w:val="18"/>
          <w:szCs w:val="18"/>
        </w:rPr>
        <w:t>sBRCA</w:t>
      </w:r>
      <w:proofErr w:type="spellEnd"/>
      <w:r>
        <w:rPr>
          <w:sz w:val="18"/>
          <w:szCs w:val="18"/>
        </w:rPr>
        <w:t xml:space="preserve"> somatic BRCA1/2; HGSOC high grade serous ovarian cancer</w:t>
      </w:r>
    </w:p>
    <w:p w:rsidR="001B29A1" w:rsidRDefault="001B29A1" w:rsidP="009571AA">
      <w:r>
        <w:br w:type="page"/>
      </w:r>
    </w:p>
    <w:p w:rsidR="009571AA" w:rsidRDefault="009571AA" w:rsidP="009571AA"/>
    <w:p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BF0A4D" w:rsidRPr="00BF0A4D" w:rsidRDefault="002519D1" w:rsidP="001A73D9">
      <w:pPr>
        <w:ind w:left="360"/>
      </w:pPr>
      <w:r>
        <w:t xml:space="preserve">Overall, tumour testing to identify somatic BRCA1/2 gene mutations in patients with platinum sensitive, relapsed </w:t>
      </w:r>
      <w:r w:rsidR="00C65B70">
        <w:t>high grade serous ovarian cancer who do not have germline BRCA1/2 gene mutations</w:t>
      </w:r>
      <w:r w:rsidR="004D2D46">
        <w:t>,</w:t>
      </w:r>
      <w:r w:rsidR="00C65B70">
        <w:t xml:space="preserve"> </w:t>
      </w:r>
      <w:r w:rsidR="004D2D46">
        <w:t xml:space="preserve">and </w:t>
      </w:r>
      <w:proofErr w:type="spellStart"/>
      <w:r>
        <w:t>olaparib</w:t>
      </w:r>
      <w:proofErr w:type="spellEnd"/>
      <w:r>
        <w:t xml:space="preserve"> treatment for </w:t>
      </w:r>
      <w:r w:rsidR="00C65B70">
        <w:t>patients found to have somatic BRCA1/2 gene mutations and “watch and wait” for patients who do not</w:t>
      </w:r>
      <w:r w:rsidR="004D2D46">
        <w:t>,</w:t>
      </w:r>
      <w:r w:rsidR="00C65B70">
        <w:t xml:space="preserve"> is </w:t>
      </w:r>
      <w:r w:rsidR="00C65B70" w:rsidRPr="004D2D46">
        <w:rPr>
          <w:b/>
        </w:rPr>
        <w:t>superior</w:t>
      </w:r>
      <w:r w:rsidR="00C65B70">
        <w:t xml:space="preserve"> </w:t>
      </w:r>
      <w:r w:rsidR="004D2D46">
        <w:t xml:space="preserve">in terms of comparative effectiveness </w:t>
      </w:r>
      <w:r w:rsidR="00F15112">
        <w:t>versus</w:t>
      </w:r>
      <w:r w:rsidR="00C65B70">
        <w:t xml:space="preserve"> </w:t>
      </w:r>
      <w:r w:rsidR="004D2D46">
        <w:t xml:space="preserve">the main comparator </w:t>
      </w:r>
      <w:r w:rsidR="00F15112">
        <w:t>(</w:t>
      </w:r>
      <w:r w:rsidR="00C65B70">
        <w:t xml:space="preserve">no tumour testing </w:t>
      </w:r>
      <w:r w:rsidR="004D2D46">
        <w:t>and “watch and wait” for all of these patients</w:t>
      </w:r>
      <w:r w:rsidR="00F15112">
        <w:t>)</w:t>
      </w:r>
      <w:r w:rsidR="004D2D46">
        <w:t>.</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B56FE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B57E8">
        <w:rPr>
          <w:szCs w:val="20"/>
        </w:rPr>
      </w:r>
      <w:r w:rsidR="005B57E8">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rsidR="009857F8" w:rsidRPr="009857F8" w:rsidRDefault="00F73A1A" w:rsidP="001B29A1">
      <w:pPr>
        <w:pBdr>
          <w:top w:val="single" w:sz="4" w:space="1" w:color="auto"/>
          <w:left w:val="single" w:sz="4" w:space="4" w:color="auto"/>
          <w:bottom w:val="single" w:sz="4" w:space="1" w:color="auto"/>
          <w:right w:val="single" w:sz="4" w:space="4" w:color="auto"/>
        </w:pBdr>
        <w:rPr>
          <w:szCs w:val="20"/>
        </w:rPr>
      </w:pPr>
      <w:r>
        <w:rPr>
          <w:szCs w:val="20"/>
        </w:rPr>
        <w:t>Safety and tolerability of</w:t>
      </w:r>
      <w:r w:rsidR="00E15189">
        <w:rPr>
          <w:szCs w:val="20"/>
        </w:rPr>
        <w:t xml:space="preserve"> </w:t>
      </w:r>
      <w:proofErr w:type="spellStart"/>
      <w:r w:rsidR="00E15189">
        <w:rPr>
          <w:szCs w:val="20"/>
        </w:rPr>
        <w:t>olaparib</w:t>
      </w:r>
      <w:proofErr w:type="spellEnd"/>
      <w:r w:rsidR="000E302D">
        <w:rPr>
          <w:szCs w:val="20"/>
        </w:rPr>
        <w:t xml:space="preserve"> </w:t>
      </w:r>
      <w:r w:rsidR="00B53833">
        <w:t xml:space="preserve">treatment </w:t>
      </w:r>
      <w:r w:rsidR="00B53833">
        <w:rPr>
          <w:szCs w:val="20"/>
        </w:rPr>
        <w:t>assessed by a</w:t>
      </w:r>
      <w:r w:rsidR="00B53833" w:rsidRPr="00B53833">
        <w:rPr>
          <w:szCs w:val="20"/>
        </w:rPr>
        <w:t>dverse events (AEs), physical examinations, laboratory findings, and vital signs</w:t>
      </w:r>
    </w:p>
    <w:p w:rsidR="009857F8" w:rsidRPr="009857F8" w:rsidRDefault="00AF0715" w:rsidP="001B29A1">
      <w:pPr>
        <w:pBdr>
          <w:top w:val="single" w:sz="4" w:space="1" w:color="auto"/>
          <w:left w:val="single" w:sz="4" w:space="4" w:color="auto"/>
          <w:bottom w:val="single" w:sz="4" w:space="1" w:color="auto"/>
          <w:right w:val="single" w:sz="4" w:space="4" w:color="auto"/>
        </w:pBdr>
        <w:rPr>
          <w:szCs w:val="20"/>
        </w:rPr>
      </w:pPr>
      <w:r>
        <w:rPr>
          <w:szCs w:val="20"/>
        </w:rPr>
        <w:t xml:space="preserve">Adverse events associated with </w:t>
      </w:r>
      <w:r w:rsidR="000E302D">
        <w:rPr>
          <w:szCs w:val="20"/>
        </w:rPr>
        <w:t>biopsy/</w:t>
      </w:r>
      <w:r>
        <w:rPr>
          <w:szCs w:val="20"/>
        </w:rPr>
        <w:t>re-biopsy</w:t>
      </w:r>
      <w:r w:rsidR="000E302D">
        <w:rPr>
          <w:szCs w:val="20"/>
        </w:rPr>
        <w:t xml:space="preserve"> for patients with inadequate tissue</w:t>
      </w:r>
    </w:p>
    <w:p w:rsidR="001B29A1" w:rsidRPr="009857F8" w:rsidRDefault="001B29A1" w:rsidP="009857F8"/>
    <w:p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rsidR="001B29A1" w:rsidRPr="009857F8" w:rsidRDefault="009857F8" w:rsidP="001B29A1">
      <w:pPr>
        <w:pBdr>
          <w:top w:val="single" w:sz="4" w:space="1" w:color="auto"/>
          <w:left w:val="single" w:sz="4" w:space="4" w:color="auto"/>
          <w:bottom w:val="single" w:sz="4" w:space="1" w:color="auto"/>
          <w:right w:val="single" w:sz="4" w:space="4" w:color="auto"/>
        </w:pBdr>
        <w:rPr>
          <w:b/>
          <w:szCs w:val="20"/>
        </w:rPr>
      </w:pPr>
      <w:r>
        <w:rPr>
          <w:b/>
          <w:szCs w:val="20"/>
        </w:rPr>
        <w:t xml:space="preserve">Test </w:t>
      </w:r>
      <w:r w:rsidRPr="009857F8">
        <w:rPr>
          <w:b/>
          <w:szCs w:val="20"/>
        </w:rPr>
        <w:t>outcomes</w:t>
      </w:r>
    </w:p>
    <w:p w:rsidR="009857F8" w:rsidRPr="005B0B97" w:rsidRDefault="009857F8" w:rsidP="001B29A1">
      <w:pPr>
        <w:pBdr>
          <w:top w:val="single" w:sz="4" w:space="1" w:color="auto"/>
          <w:left w:val="single" w:sz="4" w:space="4" w:color="auto"/>
          <w:bottom w:val="single" w:sz="4" w:space="1" w:color="auto"/>
          <w:right w:val="single" w:sz="4" w:space="4" w:color="auto"/>
        </w:pBdr>
        <w:rPr>
          <w:i/>
          <w:szCs w:val="20"/>
        </w:rPr>
      </w:pPr>
      <w:r w:rsidRPr="005B0B97">
        <w:rPr>
          <w:i/>
          <w:szCs w:val="20"/>
        </w:rPr>
        <w:t>Trial based (eviden</w:t>
      </w:r>
      <w:r w:rsidR="000E302D">
        <w:rPr>
          <w:i/>
          <w:szCs w:val="20"/>
        </w:rPr>
        <w:t xml:space="preserve">tiary standard) </w:t>
      </w:r>
      <w:r w:rsidRPr="005B0B97">
        <w:rPr>
          <w:i/>
          <w:szCs w:val="20"/>
        </w:rPr>
        <w:t>analytical performance:</w:t>
      </w:r>
    </w:p>
    <w:p w:rsidR="009857F8" w:rsidRDefault="009857F8" w:rsidP="001B29A1">
      <w:pPr>
        <w:pBdr>
          <w:top w:val="single" w:sz="4" w:space="1" w:color="auto"/>
          <w:left w:val="single" w:sz="4" w:space="4" w:color="auto"/>
          <w:bottom w:val="single" w:sz="4" w:space="1" w:color="auto"/>
          <w:right w:val="single" w:sz="4" w:space="4" w:color="auto"/>
        </w:pBdr>
        <w:rPr>
          <w:szCs w:val="20"/>
        </w:rPr>
      </w:pPr>
      <w:r>
        <w:rPr>
          <w:szCs w:val="20"/>
        </w:rPr>
        <w:t>Sensitivity</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Specificity</w:t>
      </w:r>
    </w:p>
    <w:p w:rsidR="00B85865" w:rsidRDefault="00B85865" w:rsidP="001B29A1">
      <w:pPr>
        <w:pBdr>
          <w:top w:val="single" w:sz="4" w:space="1" w:color="auto"/>
          <w:left w:val="single" w:sz="4" w:space="4" w:color="auto"/>
          <w:bottom w:val="single" w:sz="4" w:space="1" w:color="auto"/>
          <w:right w:val="single" w:sz="4" w:space="4" w:color="auto"/>
        </w:pBdr>
        <w:rPr>
          <w:szCs w:val="20"/>
        </w:rPr>
      </w:pPr>
      <w:r>
        <w:rPr>
          <w:szCs w:val="20"/>
        </w:rPr>
        <w:t>Positive predictive value</w:t>
      </w:r>
    </w:p>
    <w:p w:rsidR="00B85865" w:rsidRDefault="000E302D" w:rsidP="001B29A1">
      <w:pPr>
        <w:pBdr>
          <w:top w:val="single" w:sz="4" w:space="1" w:color="auto"/>
          <w:left w:val="single" w:sz="4" w:space="4" w:color="auto"/>
          <w:bottom w:val="single" w:sz="4" w:space="1" w:color="auto"/>
          <w:right w:val="single" w:sz="4" w:space="4" w:color="auto"/>
        </w:pBdr>
        <w:rPr>
          <w:szCs w:val="20"/>
        </w:rPr>
      </w:pPr>
      <w:r>
        <w:rPr>
          <w:szCs w:val="20"/>
        </w:rPr>
        <w:t>Negative predictive value</w:t>
      </w:r>
    </w:p>
    <w:p w:rsidR="000E302D" w:rsidRDefault="000E302D" w:rsidP="001B29A1">
      <w:pPr>
        <w:pBdr>
          <w:top w:val="single" w:sz="4" w:space="1" w:color="auto"/>
          <w:left w:val="single" w:sz="4" w:space="4" w:color="auto"/>
          <w:bottom w:val="single" w:sz="4" w:space="1" w:color="auto"/>
          <w:right w:val="single" w:sz="4" w:space="4" w:color="auto"/>
        </w:pBdr>
        <w:rPr>
          <w:szCs w:val="20"/>
        </w:rPr>
      </w:pPr>
      <w:r>
        <w:rPr>
          <w:szCs w:val="20"/>
        </w:rPr>
        <w:t xml:space="preserve">Concordance with </w:t>
      </w:r>
      <w:r w:rsidR="007F1EB9">
        <w:rPr>
          <w:szCs w:val="20"/>
        </w:rPr>
        <w:t xml:space="preserve">blood-based germline BRCA1/2 </w:t>
      </w:r>
      <w:r>
        <w:rPr>
          <w:szCs w:val="20"/>
        </w:rPr>
        <w:t xml:space="preserve">test methods </w:t>
      </w:r>
    </w:p>
    <w:p w:rsidR="005B0B97" w:rsidRPr="007044FD" w:rsidRDefault="007044FD" w:rsidP="001B29A1">
      <w:pPr>
        <w:pBdr>
          <w:top w:val="single" w:sz="4" w:space="1" w:color="auto"/>
          <w:left w:val="single" w:sz="4" w:space="4" w:color="auto"/>
          <w:bottom w:val="single" w:sz="4" w:space="1" w:color="auto"/>
          <w:right w:val="single" w:sz="4" w:space="4" w:color="auto"/>
        </w:pBdr>
        <w:rPr>
          <w:i/>
          <w:szCs w:val="20"/>
        </w:rPr>
      </w:pPr>
      <w:r w:rsidRPr="007044FD">
        <w:rPr>
          <w:i/>
          <w:szCs w:val="20"/>
        </w:rPr>
        <w:t>Clinical utility of test:</w:t>
      </w:r>
    </w:p>
    <w:p w:rsidR="007044FD" w:rsidRDefault="00024FF8" w:rsidP="001B29A1">
      <w:pPr>
        <w:pBdr>
          <w:top w:val="single" w:sz="4" w:space="1" w:color="auto"/>
          <w:left w:val="single" w:sz="4" w:space="4" w:color="auto"/>
          <w:bottom w:val="single" w:sz="4" w:space="1" w:color="auto"/>
          <w:right w:val="single" w:sz="4" w:space="4" w:color="auto"/>
        </w:pBdr>
        <w:rPr>
          <w:szCs w:val="20"/>
        </w:rPr>
      </w:pPr>
      <w:r>
        <w:rPr>
          <w:szCs w:val="20"/>
        </w:rPr>
        <w:t>Prognostic effect of BRCA1/2 mutation in platinum sensitive, relapsed HGSOC</w:t>
      </w:r>
    </w:p>
    <w:p w:rsidR="00024FF8" w:rsidRDefault="00024FF8" w:rsidP="001B29A1">
      <w:pPr>
        <w:pBdr>
          <w:top w:val="single" w:sz="4" w:space="1" w:color="auto"/>
          <w:left w:val="single" w:sz="4" w:space="4" w:color="auto"/>
          <w:bottom w:val="single" w:sz="4" w:space="1" w:color="auto"/>
          <w:right w:val="single" w:sz="4" w:space="4" w:color="auto"/>
        </w:pBdr>
        <w:rPr>
          <w:szCs w:val="20"/>
        </w:rPr>
      </w:pPr>
      <w:r>
        <w:rPr>
          <w:szCs w:val="20"/>
        </w:rPr>
        <w:t xml:space="preserve">Treatment effect modification of </w:t>
      </w:r>
      <w:proofErr w:type="spellStart"/>
      <w:r>
        <w:rPr>
          <w:szCs w:val="20"/>
        </w:rPr>
        <w:t>olaparib</w:t>
      </w:r>
      <w:proofErr w:type="spellEnd"/>
      <w:r>
        <w:rPr>
          <w:szCs w:val="20"/>
        </w:rPr>
        <w:t xml:space="preserve"> in platinum sensitive, relapsed HGSOC</w:t>
      </w:r>
    </w:p>
    <w:p w:rsidR="009D061C" w:rsidRPr="009D061C" w:rsidRDefault="009D061C" w:rsidP="001B29A1">
      <w:pPr>
        <w:pBdr>
          <w:top w:val="single" w:sz="4" w:space="1" w:color="auto"/>
          <w:left w:val="single" w:sz="4" w:space="4" w:color="auto"/>
          <w:bottom w:val="single" w:sz="4" w:space="1" w:color="auto"/>
          <w:right w:val="single" w:sz="4" w:space="4" w:color="auto"/>
        </w:pBdr>
        <w:rPr>
          <w:i/>
          <w:szCs w:val="20"/>
        </w:rPr>
      </w:pPr>
      <w:r w:rsidRPr="009D061C">
        <w:rPr>
          <w:i/>
          <w:szCs w:val="20"/>
        </w:rPr>
        <w:t>Other test-related considerations:</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Re-biopsy rates</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Test turn-around time</w:t>
      </w:r>
    </w:p>
    <w:p w:rsidR="009D061C" w:rsidRDefault="009D061C" w:rsidP="001B29A1">
      <w:pPr>
        <w:pBdr>
          <w:top w:val="single" w:sz="4" w:space="1" w:color="auto"/>
          <w:left w:val="single" w:sz="4" w:space="4" w:color="auto"/>
          <w:bottom w:val="single" w:sz="4" w:space="1" w:color="auto"/>
          <w:right w:val="single" w:sz="4" w:space="4" w:color="auto"/>
        </w:pBdr>
        <w:rPr>
          <w:szCs w:val="20"/>
        </w:rPr>
      </w:pPr>
      <w:r>
        <w:rPr>
          <w:szCs w:val="20"/>
        </w:rPr>
        <w:t>Estimated number of patients being tested</w:t>
      </w:r>
    </w:p>
    <w:p w:rsidR="006C5734" w:rsidRPr="009857F8" w:rsidRDefault="006C5734" w:rsidP="006C5734">
      <w:pPr>
        <w:pBdr>
          <w:top w:val="single" w:sz="4" w:space="1" w:color="auto"/>
          <w:left w:val="single" w:sz="4" w:space="4" w:color="auto"/>
          <w:bottom w:val="single" w:sz="4" w:space="1" w:color="auto"/>
          <w:right w:val="single" w:sz="4" w:space="4" w:color="auto"/>
        </w:pBdr>
        <w:rPr>
          <w:szCs w:val="20"/>
        </w:rPr>
      </w:pPr>
      <w:r>
        <w:rPr>
          <w:szCs w:val="20"/>
        </w:rPr>
        <w:t>Cost of testing p</w:t>
      </w:r>
      <w:r w:rsidR="00A16BB6">
        <w:rPr>
          <w:szCs w:val="20"/>
        </w:rPr>
        <w:t xml:space="preserve">er </w:t>
      </w:r>
      <w:r w:rsidR="007F1EB9">
        <w:rPr>
          <w:szCs w:val="20"/>
        </w:rPr>
        <w:t>patient</w:t>
      </w:r>
    </w:p>
    <w:p w:rsidR="009857F8" w:rsidRPr="009857F8" w:rsidRDefault="009857F8" w:rsidP="001B29A1">
      <w:pPr>
        <w:pBdr>
          <w:top w:val="single" w:sz="4" w:space="1" w:color="auto"/>
          <w:left w:val="single" w:sz="4" w:space="4" w:color="auto"/>
          <w:bottom w:val="single" w:sz="4" w:space="1" w:color="auto"/>
          <w:right w:val="single" w:sz="4" w:space="4" w:color="auto"/>
        </w:pBdr>
        <w:rPr>
          <w:b/>
          <w:szCs w:val="20"/>
        </w:rPr>
      </w:pPr>
      <w:r w:rsidRPr="009857F8">
        <w:rPr>
          <w:b/>
          <w:szCs w:val="20"/>
        </w:rPr>
        <w:t>Drug outcomes</w:t>
      </w:r>
    </w:p>
    <w:p w:rsidR="00AF0715" w:rsidRDefault="00AF0715" w:rsidP="001B29A1">
      <w:pPr>
        <w:pBdr>
          <w:top w:val="single" w:sz="4" w:space="1" w:color="auto"/>
          <w:left w:val="single" w:sz="4" w:space="4" w:color="auto"/>
          <w:bottom w:val="single" w:sz="4" w:space="1" w:color="auto"/>
          <w:right w:val="single" w:sz="4" w:space="4" w:color="auto"/>
        </w:pBdr>
        <w:rPr>
          <w:szCs w:val="20"/>
        </w:rPr>
      </w:pPr>
      <w:r>
        <w:rPr>
          <w:szCs w:val="20"/>
        </w:rPr>
        <w:t xml:space="preserve">Overall survival </w:t>
      </w:r>
      <w:r w:rsidR="00FA148E">
        <w:rPr>
          <w:szCs w:val="20"/>
        </w:rPr>
        <w:t>(OS)</w:t>
      </w:r>
    </w:p>
    <w:p w:rsidR="00AF0715" w:rsidRDefault="00AF0715" w:rsidP="001B29A1">
      <w:pPr>
        <w:pBdr>
          <w:top w:val="single" w:sz="4" w:space="1" w:color="auto"/>
          <w:left w:val="single" w:sz="4" w:space="4" w:color="auto"/>
          <w:bottom w:val="single" w:sz="4" w:space="1" w:color="auto"/>
          <w:right w:val="single" w:sz="4" w:space="4" w:color="auto"/>
        </w:pBdr>
        <w:rPr>
          <w:szCs w:val="20"/>
        </w:rPr>
      </w:pPr>
      <w:r>
        <w:rPr>
          <w:szCs w:val="20"/>
        </w:rPr>
        <w:t>Progression-free survival</w:t>
      </w:r>
      <w:r w:rsidR="00E1558C">
        <w:rPr>
          <w:szCs w:val="20"/>
        </w:rPr>
        <w:t xml:space="preserve"> (PFS)</w:t>
      </w:r>
    </w:p>
    <w:p w:rsidR="00404D00" w:rsidRPr="00E1558C" w:rsidRDefault="00E1558C" w:rsidP="00E1558C">
      <w:pPr>
        <w:pBdr>
          <w:top w:val="single" w:sz="4" w:space="1" w:color="auto"/>
          <w:left w:val="single" w:sz="4" w:space="4" w:color="auto"/>
          <w:bottom w:val="single" w:sz="4" w:space="1" w:color="auto"/>
          <w:right w:val="single" w:sz="4" w:space="4" w:color="auto"/>
        </w:pBdr>
        <w:rPr>
          <w:szCs w:val="20"/>
        </w:rPr>
      </w:pPr>
      <w:r>
        <w:rPr>
          <w:szCs w:val="20"/>
        </w:rPr>
        <w:t>Health-related quality of life</w:t>
      </w:r>
    </w:p>
    <w:p w:rsidR="00404D00" w:rsidRDefault="00404D00" w:rsidP="00404D00"/>
    <w:p w:rsidR="00404D00" w:rsidRDefault="00404D00" w:rsidP="00404D00"/>
    <w:p w:rsidR="00404D00" w:rsidRDefault="00404D00" w:rsidP="00404D00">
      <w:pPr>
        <w:pStyle w:val="Heading1"/>
      </w:pPr>
      <w:r w:rsidRPr="00E1558C">
        <w:rPr>
          <w:b/>
          <w:i/>
        </w:rPr>
        <w:t>PART 7 – INFORMATION ABOUT ESTIMATED UTILISATION</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5D1F25" w:rsidRDefault="006E23A0" w:rsidP="005D1F25">
      <w:pPr>
        <w:ind w:left="426"/>
      </w:pPr>
      <w:r>
        <w:t xml:space="preserve">Tumour tissue testing to determine somatic BRCA1/2 gene mutation status </w:t>
      </w:r>
      <w:r w:rsidR="00952BF8">
        <w:t xml:space="preserve">would be conducted </w:t>
      </w:r>
      <w:r w:rsidR="002A1470">
        <w:t xml:space="preserve">only </w:t>
      </w:r>
      <w:r w:rsidR="001E7979">
        <w:t xml:space="preserve">once </w:t>
      </w:r>
      <w:r>
        <w:t xml:space="preserve">per patient </w:t>
      </w:r>
      <w:r w:rsidR="00616633">
        <w:t>in most</w:t>
      </w:r>
      <w:r w:rsidR="00952BF8">
        <w:t xml:space="preserve"> cases.  </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154B00" w:rsidRDefault="00A15577" w:rsidP="00AE1188">
      <w:pPr>
        <w:ind w:left="426"/>
        <w:rPr>
          <w:b/>
          <w:szCs w:val="20"/>
        </w:rPr>
      </w:pPr>
      <w:r>
        <w:t>Tumour tissue testing to determine somatic BRCA1/2 gene mutation status</w:t>
      </w:r>
      <w:r w:rsidR="00616069">
        <w:t xml:space="preserve"> is not required fo</w:t>
      </w:r>
      <w:r w:rsidR="00AA14FA">
        <w:t xml:space="preserve">r routine monitoring of a </w:t>
      </w:r>
      <w:r>
        <w:t>patient.  T</w:t>
      </w:r>
      <w:r w:rsidR="00616069">
        <w:t>he subst</w:t>
      </w:r>
      <w:r>
        <w:t xml:space="preserve">antial majority of patients should only require </w:t>
      </w:r>
      <w:r w:rsidR="00CE6506">
        <w:t xml:space="preserve">tumour testing </w:t>
      </w:r>
      <w:r w:rsidR="00556F99">
        <w:t xml:space="preserve">once </w:t>
      </w:r>
      <w:r w:rsidR="00CE6506">
        <w:t xml:space="preserve">to detect </w:t>
      </w:r>
      <w:r>
        <w:t>somatic BRCA1/2 gene mutation</w:t>
      </w:r>
      <w:r w:rsidR="004C14CE">
        <w:t>s</w:t>
      </w:r>
      <w:r w:rsidR="00616069">
        <w:t>.</w:t>
      </w:r>
    </w:p>
    <w:p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EA372D" w:rsidRPr="00EA372D" w:rsidRDefault="00EA372D" w:rsidP="00A74F37">
      <w:pPr>
        <w:ind w:left="360"/>
        <w:rPr>
          <w:i/>
        </w:rPr>
      </w:pPr>
      <w:r w:rsidRPr="00EA372D">
        <w:rPr>
          <w:i/>
        </w:rPr>
        <w:t xml:space="preserve">Utilisation of tumour testing to detect somatic BRCA1/2 mutations </w:t>
      </w:r>
    </w:p>
    <w:p w:rsidR="00A74F37" w:rsidRDefault="00CE6506" w:rsidP="00A74F37">
      <w:pPr>
        <w:ind w:left="360"/>
      </w:pPr>
      <w:r>
        <w:t>The incidence of o</w:t>
      </w:r>
      <w:r w:rsidR="00A15577">
        <w:t>var</w:t>
      </w:r>
      <w:r>
        <w:t xml:space="preserve">ian cancer </w:t>
      </w:r>
      <w:r w:rsidR="00135405">
        <w:t xml:space="preserve">in Australia </w:t>
      </w:r>
      <w:r>
        <w:t xml:space="preserve">is </w:t>
      </w:r>
      <w:r w:rsidR="00A15577">
        <w:t xml:space="preserve">estimated </w:t>
      </w:r>
      <w:r>
        <w:t xml:space="preserve">at </w:t>
      </w:r>
      <w:r w:rsidR="00A15577">
        <w:t>1613 new cases in 2018.</w:t>
      </w:r>
      <w:r w:rsidR="00135405" w:rsidRPr="00135405">
        <w:rPr>
          <w:vertAlign w:val="superscript"/>
        </w:rPr>
        <w:t>1</w:t>
      </w:r>
      <w:r>
        <w:t xml:space="preserve"> </w:t>
      </w:r>
      <w:proofErr w:type="gramStart"/>
      <w:r w:rsidR="00135405">
        <w:t>The</w:t>
      </w:r>
      <w:proofErr w:type="gramEnd"/>
      <w:r w:rsidR="00135405">
        <w:t xml:space="preserve"> number of new cases including the number of fallopian tube or primary peritoneal cancer can be estimated by increasing by an additional 14% in alignment with the proportions reported in Study 19</w:t>
      </w:r>
      <w:r w:rsidR="00135405">
        <w:rPr>
          <w:vertAlign w:val="superscript"/>
        </w:rPr>
        <w:t>2</w:t>
      </w:r>
      <w:r w:rsidR="00135405">
        <w:t xml:space="preserve"> to give 1839 </w:t>
      </w:r>
      <w:r w:rsidR="00486D63">
        <w:t xml:space="preserve">new </w:t>
      </w:r>
      <w:r w:rsidR="00135405">
        <w:t>cases</w:t>
      </w:r>
      <w:r w:rsidR="00486D63">
        <w:t xml:space="preserve">. A large Australian </w:t>
      </w:r>
      <w:r w:rsidR="00BF4796">
        <w:t>epidemiological survey indicated</w:t>
      </w:r>
      <w:r w:rsidR="00486D63">
        <w:t xml:space="preserve"> the proportion of cases with high grade serous histology is 71%</w:t>
      </w:r>
      <w:r w:rsidR="002A4E83">
        <w:t>, or 1306 cases</w:t>
      </w:r>
      <w:r w:rsidR="00486D63">
        <w:t>.</w:t>
      </w:r>
      <w:r w:rsidR="0054184C">
        <w:rPr>
          <w:vertAlign w:val="superscript"/>
        </w:rPr>
        <w:t>3</w:t>
      </w:r>
      <w:r w:rsidR="001A5600">
        <w:t xml:space="preserve"> </w:t>
      </w:r>
      <w:r w:rsidR="00FD5F30">
        <w:t>This study also included an analysis of response to treatment by BRCA1/2 mutation sta</w:t>
      </w:r>
      <w:r w:rsidR="00A74F37">
        <w:t>t</w:t>
      </w:r>
      <w:r w:rsidR="00FD5F30">
        <w:t xml:space="preserve">us </w:t>
      </w:r>
      <w:r w:rsidR="00A74F37">
        <w:t>(germline or somatic)</w:t>
      </w:r>
      <w:r w:rsidR="001A5600">
        <w:t>. A</w:t>
      </w:r>
      <w:r w:rsidR="002A4E83">
        <w:t xml:space="preserve"> high proportion </w:t>
      </w:r>
      <w:r w:rsidR="00B37ECD">
        <w:t>(</w:t>
      </w:r>
      <w:r w:rsidR="00FD5F30">
        <w:t xml:space="preserve">835/918 = </w:t>
      </w:r>
      <w:r w:rsidR="00B37ECD">
        <w:t>91</w:t>
      </w:r>
      <w:r w:rsidR="00E87EED">
        <w:t xml:space="preserve">%) </w:t>
      </w:r>
      <w:r w:rsidR="00B37ECD">
        <w:t>of patients had</w:t>
      </w:r>
      <w:r w:rsidR="002A4E83">
        <w:t xml:space="preserve"> primary treatment (tumour </w:t>
      </w:r>
      <w:proofErr w:type="spellStart"/>
      <w:r w:rsidR="002A4E83">
        <w:t>debulking</w:t>
      </w:r>
      <w:proofErr w:type="spellEnd"/>
      <w:r w:rsidR="002A4E83">
        <w:t xml:space="preserve"> surgery and </w:t>
      </w:r>
      <w:r w:rsidR="001A5600">
        <w:t xml:space="preserve">received </w:t>
      </w:r>
      <w:r w:rsidR="002A4E83">
        <w:t>1</w:t>
      </w:r>
      <w:r w:rsidR="002A4E83" w:rsidRPr="002A4E83">
        <w:rPr>
          <w:vertAlign w:val="superscript"/>
        </w:rPr>
        <w:t>st</w:t>
      </w:r>
      <w:r w:rsidR="001A5600">
        <w:t xml:space="preserve"> line platinum-</w:t>
      </w:r>
      <w:r w:rsidR="002A4E83">
        <w:t>based chemotherapy).</w:t>
      </w:r>
      <w:r w:rsidR="0054184C">
        <w:rPr>
          <w:vertAlign w:val="superscript"/>
        </w:rPr>
        <w:t>3</w:t>
      </w:r>
      <w:bookmarkStart w:id="18" w:name="_Hlk507447590"/>
      <w:r w:rsidR="00EA372D">
        <w:t xml:space="preserve"> </w:t>
      </w:r>
      <w:r w:rsidR="00A74F37">
        <w:t>In the BRCA1/2 mutation wild-type subgroup (701/835 = 84% of patients) the proportion who demonstrated platinum sensitivity (&gt;6months response to first progressi</w:t>
      </w:r>
      <w:r w:rsidR="00EC58DC">
        <w:t xml:space="preserve">on) was 68% </w:t>
      </w:r>
      <w:r w:rsidR="0059150B">
        <w:t xml:space="preserve">(.84 x .68 </w:t>
      </w:r>
      <w:r w:rsidR="00EC58DC">
        <w:t xml:space="preserve">x 1188 = </w:t>
      </w:r>
      <w:r w:rsidR="00547109">
        <w:t>679</w:t>
      </w:r>
      <w:r w:rsidR="0059150B">
        <w:t xml:space="preserve"> patients)</w:t>
      </w:r>
      <w:r w:rsidR="00A74F37">
        <w:t>.</w:t>
      </w:r>
      <w:r w:rsidR="00A74F37">
        <w:rPr>
          <w:vertAlign w:val="superscript"/>
        </w:rPr>
        <w:t>3</w:t>
      </w:r>
      <w:r w:rsidR="00A74F37">
        <w:t xml:space="preserve"> </w:t>
      </w:r>
      <w:r w:rsidR="00701326">
        <w:t xml:space="preserve">This is an estimate of the number of patients </w:t>
      </w:r>
      <w:r w:rsidR="007F2E3E">
        <w:t>who would require tumour testing per year.</w:t>
      </w:r>
    </w:p>
    <w:bookmarkEnd w:id="18"/>
    <w:p w:rsidR="00486D63" w:rsidRPr="0056010E" w:rsidRDefault="00486D63" w:rsidP="007E37E8"/>
    <w:tbl>
      <w:tblPr>
        <w:tblStyle w:val="TableGrid"/>
        <w:tblW w:w="0" w:type="auto"/>
        <w:tblInd w:w="360" w:type="dxa"/>
        <w:tblLook w:val="04A0" w:firstRow="1" w:lastRow="0" w:firstColumn="1" w:lastColumn="0" w:noHBand="0" w:noVBand="1"/>
        <w:tblCaption w:val="Table showing incidence, histology, patients to receive primary treatment and response."/>
        <w:tblDescription w:val="Table"/>
      </w:tblPr>
      <w:tblGrid>
        <w:gridCol w:w="4346"/>
        <w:gridCol w:w="4310"/>
      </w:tblGrid>
      <w:tr w:rsidR="00486D63" w:rsidTr="00C94F16">
        <w:trPr>
          <w:tblHeader/>
        </w:trPr>
        <w:tc>
          <w:tcPr>
            <w:tcW w:w="4346" w:type="dxa"/>
          </w:tcPr>
          <w:p w:rsidR="00486D63" w:rsidRPr="00486D63" w:rsidRDefault="00486D63" w:rsidP="00BA1118">
            <w:pPr>
              <w:rPr>
                <w:vertAlign w:val="superscript"/>
              </w:rPr>
            </w:pPr>
            <w:r>
              <w:t>Incidence of ovarian cancer in Australia</w:t>
            </w:r>
            <w:r>
              <w:rPr>
                <w:vertAlign w:val="superscript"/>
              </w:rPr>
              <w:t>1</w:t>
            </w:r>
          </w:p>
        </w:tc>
        <w:tc>
          <w:tcPr>
            <w:tcW w:w="4310" w:type="dxa"/>
          </w:tcPr>
          <w:p w:rsidR="00486D63" w:rsidRDefault="00486D63" w:rsidP="00BA1118">
            <w:r>
              <w:t>1613</w:t>
            </w:r>
            <w:r w:rsidR="0056010E">
              <w:t xml:space="preserve"> patients</w:t>
            </w:r>
          </w:p>
        </w:tc>
      </w:tr>
      <w:tr w:rsidR="00486D63" w:rsidTr="007E37E8">
        <w:tc>
          <w:tcPr>
            <w:tcW w:w="4346" w:type="dxa"/>
          </w:tcPr>
          <w:p w:rsidR="00486D63" w:rsidRPr="00486D63" w:rsidRDefault="00486D63" w:rsidP="00BA1118">
            <w:pPr>
              <w:rPr>
                <w:vertAlign w:val="superscript"/>
              </w:rPr>
            </w:pPr>
            <w:r>
              <w:t>Adjustment to include fallopian tube and primary peritoneal cancer based on Study 19</w:t>
            </w:r>
            <w:r>
              <w:rPr>
                <w:vertAlign w:val="superscript"/>
              </w:rPr>
              <w:t>2</w:t>
            </w:r>
          </w:p>
        </w:tc>
        <w:tc>
          <w:tcPr>
            <w:tcW w:w="4310" w:type="dxa"/>
          </w:tcPr>
          <w:p w:rsidR="00486D63" w:rsidRDefault="00486D63" w:rsidP="00BA1118">
            <w:r>
              <w:t>1839</w:t>
            </w:r>
            <w:r w:rsidR="0056010E">
              <w:t xml:space="preserve"> patients</w:t>
            </w:r>
          </w:p>
        </w:tc>
      </w:tr>
      <w:tr w:rsidR="00486D63" w:rsidTr="007E37E8">
        <w:tc>
          <w:tcPr>
            <w:tcW w:w="4346" w:type="dxa"/>
          </w:tcPr>
          <w:p w:rsidR="00486D63" w:rsidRPr="0054184C" w:rsidRDefault="00EC6937" w:rsidP="00BA1118">
            <w:pPr>
              <w:rPr>
                <w:vertAlign w:val="superscript"/>
              </w:rPr>
            </w:pPr>
            <w:r>
              <w:t>High grade serous histology</w:t>
            </w:r>
            <w:r w:rsidR="0054184C">
              <w:rPr>
                <w:vertAlign w:val="superscript"/>
              </w:rPr>
              <w:t>3</w:t>
            </w:r>
          </w:p>
        </w:tc>
        <w:tc>
          <w:tcPr>
            <w:tcW w:w="4310" w:type="dxa"/>
          </w:tcPr>
          <w:p w:rsidR="00486D63" w:rsidRDefault="00474B57" w:rsidP="00BA1118">
            <w:r>
              <w:t>130</w:t>
            </w:r>
            <w:r w:rsidR="002A4E83">
              <w:t>6</w:t>
            </w:r>
            <w:r w:rsidR="0056010E">
              <w:t xml:space="preserve"> patients</w:t>
            </w:r>
          </w:p>
        </w:tc>
      </w:tr>
      <w:tr w:rsidR="00486D63" w:rsidTr="007E37E8">
        <w:tc>
          <w:tcPr>
            <w:tcW w:w="4346" w:type="dxa"/>
          </w:tcPr>
          <w:p w:rsidR="00486D63" w:rsidRPr="0054184C" w:rsidRDefault="00E87EED" w:rsidP="00BA1118">
            <w:pPr>
              <w:rPr>
                <w:vertAlign w:val="superscript"/>
              </w:rPr>
            </w:pPr>
            <w:r>
              <w:t>Receive primary treatment (surgery, platinum-based chemotherapy)</w:t>
            </w:r>
            <w:r w:rsidR="0054184C">
              <w:rPr>
                <w:vertAlign w:val="superscript"/>
              </w:rPr>
              <w:t>3</w:t>
            </w:r>
          </w:p>
        </w:tc>
        <w:tc>
          <w:tcPr>
            <w:tcW w:w="4310" w:type="dxa"/>
          </w:tcPr>
          <w:p w:rsidR="00486D63" w:rsidRDefault="001A5600" w:rsidP="00BA1118">
            <w:r>
              <w:t>1188</w:t>
            </w:r>
            <w:r w:rsidR="0056010E">
              <w:t xml:space="preserve"> patients</w:t>
            </w:r>
          </w:p>
        </w:tc>
      </w:tr>
      <w:tr w:rsidR="00486D63" w:rsidTr="007E37E8">
        <w:tc>
          <w:tcPr>
            <w:tcW w:w="4346" w:type="dxa"/>
          </w:tcPr>
          <w:p w:rsidR="00486D63" w:rsidRPr="0054184C" w:rsidRDefault="00EC58DC" w:rsidP="00BA1118">
            <w:pPr>
              <w:rPr>
                <w:vertAlign w:val="superscript"/>
              </w:rPr>
            </w:pPr>
            <w:r>
              <w:t>Response after 1</w:t>
            </w:r>
            <w:r w:rsidRPr="00EC58DC">
              <w:rPr>
                <w:vertAlign w:val="superscript"/>
              </w:rPr>
              <w:t>st</w:t>
            </w:r>
            <w:r>
              <w:t xml:space="preserve"> line chemotherapy</w:t>
            </w:r>
            <w:r w:rsidR="00A74F37">
              <w:t xml:space="preserve"> (BRCA1/2 wild-type subgroup)</w:t>
            </w:r>
            <w:r w:rsidR="0054184C">
              <w:rPr>
                <w:vertAlign w:val="superscript"/>
              </w:rPr>
              <w:t>3</w:t>
            </w:r>
          </w:p>
        </w:tc>
        <w:tc>
          <w:tcPr>
            <w:tcW w:w="4310" w:type="dxa"/>
          </w:tcPr>
          <w:p w:rsidR="00486D63" w:rsidRDefault="0056010E" w:rsidP="00BA1118">
            <w:r>
              <w:t xml:space="preserve"> </w:t>
            </w:r>
            <w:r w:rsidR="00547109">
              <w:t xml:space="preserve">679 </w:t>
            </w:r>
            <w:r>
              <w:t>patients</w:t>
            </w:r>
          </w:p>
        </w:tc>
      </w:tr>
    </w:tbl>
    <w:p w:rsidR="007F2E3E" w:rsidRPr="00BB0C00" w:rsidRDefault="00BB0C00" w:rsidP="00E75D9E">
      <w:pPr>
        <w:ind w:left="360"/>
        <w:rPr>
          <w:b/>
        </w:rPr>
      </w:pPr>
      <w:proofErr w:type="gramStart"/>
      <w:r w:rsidRPr="00BB0C00">
        <w:rPr>
          <w:b/>
        </w:rPr>
        <w:t>Redacted.</w:t>
      </w:r>
      <w:proofErr w:type="gramEnd"/>
    </w:p>
    <w:p w:rsidR="00042707" w:rsidRPr="00042707" w:rsidRDefault="00042707" w:rsidP="00042707">
      <w:pPr>
        <w:ind w:left="360"/>
        <w:rPr>
          <w:sz w:val="16"/>
          <w:szCs w:val="16"/>
        </w:rPr>
      </w:pPr>
      <w:proofErr w:type="gramStart"/>
      <w:r w:rsidRPr="00F378AA">
        <w:rPr>
          <w:sz w:val="16"/>
          <w:szCs w:val="16"/>
          <w:vertAlign w:val="superscript"/>
        </w:rPr>
        <w:t>1</w:t>
      </w:r>
      <w:r w:rsidRPr="00F378AA">
        <w:rPr>
          <w:sz w:val="16"/>
          <w:szCs w:val="16"/>
        </w:rPr>
        <w:t>Australian Institute of Health and We</w:t>
      </w:r>
      <w:r>
        <w:rPr>
          <w:sz w:val="16"/>
          <w:szCs w:val="16"/>
        </w:rPr>
        <w:t>lfare Cancer in Australia 2017.</w:t>
      </w:r>
      <w:proofErr w:type="gramEnd"/>
    </w:p>
    <w:p w:rsidR="00042707" w:rsidRDefault="00042707" w:rsidP="00042707">
      <w:pPr>
        <w:ind w:left="360"/>
        <w:rPr>
          <w:sz w:val="16"/>
          <w:szCs w:val="16"/>
        </w:rPr>
      </w:pPr>
      <w:proofErr w:type="gramStart"/>
      <w:r>
        <w:rPr>
          <w:sz w:val="16"/>
          <w:szCs w:val="16"/>
          <w:vertAlign w:val="superscript"/>
        </w:rPr>
        <w:t>2</w:t>
      </w:r>
      <w:r>
        <w:rPr>
          <w:sz w:val="16"/>
          <w:szCs w:val="16"/>
        </w:rPr>
        <w:t xml:space="preserve">Lederman J, Harter P, </w:t>
      </w:r>
      <w:proofErr w:type="spellStart"/>
      <w:r>
        <w:rPr>
          <w:sz w:val="16"/>
          <w:szCs w:val="16"/>
        </w:rPr>
        <w:t>Gourley</w:t>
      </w:r>
      <w:proofErr w:type="spellEnd"/>
      <w:r>
        <w:rPr>
          <w:sz w:val="16"/>
          <w:szCs w:val="16"/>
        </w:rPr>
        <w:t xml:space="preserve"> C, Friedlander M, et.al.</w:t>
      </w:r>
      <w:proofErr w:type="gramEnd"/>
      <w:r>
        <w:rPr>
          <w:sz w:val="16"/>
          <w:szCs w:val="16"/>
        </w:rPr>
        <w:t xml:space="preserve"> </w:t>
      </w:r>
      <w:r w:rsidRPr="00042707">
        <w:rPr>
          <w:i/>
          <w:sz w:val="16"/>
          <w:szCs w:val="16"/>
        </w:rPr>
        <w:t>Lancet Oncology</w:t>
      </w:r>
      <w:r>
        <w:rPr>
          <w:sz w:val="16"/>
          <w:szCs w:val="16"/>
        </w:rPr>
        <w:t xml:space="preserve">, 2014, </w:t>
      </w:r>
      <w:r>
        <w:rPr>
          <w:b/>
          <w:sz w:val="16"/>
          <w:szCs w:val="16"/>
        </w:rPr>
        <w:t>15</w:t>
      </w:r>
      <w:r>
        <w:rPr>
          <w:sz w:val="16"/>
          <w:szCs w:val="16"/>
        </w:rPr>
        <w:t>:852-61.</w:t>
      </w:r>
    </w:p>
    <w:p w:rsidR="00042707" w:rsidRPr="00A750B2" w:rsidRDefault="00042707" w:rsidP="00042707">
      <w:pPr>
        <w:ind w:left="360"/>
        <w:rPr>
          <w:sz w:val="16"/>
          <w:szCs w:val="16"/>
        </w:rPr>
      </w:pPr>
      <w:proofErr w:type="gramStart"/>
      <w:r w:rsidRPr="00042707">
        <w:rPr>
          <w:sz w:val="16"/>
          <w:szCs w:val="16"/>
          <w:vertAlign w:val="superscript"/>
        </w:rPr>
        <w:t>3</w:t>
      </w:r>
      <w:r>
        <w:rPr>
          <w:sz w:val="16"/>
          <w:szCs w:val="16"/>
        </w:rPr>
        <w:t xml:space="preserve">Alsop K, </w:t>
      </w:r>
      <w:proofErr w:type="spellStart"/>
      <w:r>
        <w:rPr>
          <w:sz w:val="16"/>
          <w:szCs w:val="16"/>
        </w:rPr>
        <w:t>Fereday</w:t>
      </w:r>
      <w:proofErr w:type="spellEnd"/>
      <w:r>
        <w:rPr>
          <w:sz w:val="16"/>
          <w:szCs w:val="16"/>
        </w:rPr>
        <w:t xml:space="preserve"> S, Meldrum C, DeFazio A, et.al.</w:t>
      </w:r>
      <w:proofErr w:type="gramEnd"/>
      <w:r>
        <w:rPr>
          <w:sz w:val="16"/>
          <w:szCs w:val="16"/>
        </w:rPr>
        <w:t xml:space="preserve"> </w:t>
      </w:r>
      <w:r w:rsidRPr="006E05F7">
        <w:rPr>
          <w:i/>
          <w:sz w:val="16"/>
          <w:szCs w:val="16"/>
        </w:rPr>
        <w:t>Journal of Clinical Oncology</w:t>
      </w:r>
      <w:r w:rsidR="006E05F7">
        <w:rPr>
          <w:sz w:val="16"/>
          <w:szCs w:val="16"/>
        </w:rPr>
        <w:t>, 2012, 30(21):2654-2663.</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BB0C00" w:rsidRPr="00BB0C00" w:rsidRDefault="00227887" w:rsidP="00710E24">
      <w:pPr>
        <w:ind w:left="360"/>
        <w:rPr>
          <w:b/>
        </w:rPr>
      </w:pPr>
      <w:r>
        <w:lastRenderedPageBreak/>
        <w:t xml:space="preserve">It is not anticipated that there would be any supply or demand issues as the overall number of patients requiring </w:t>
      </w:r>
      <w:r w:rsidR="007F6459">
        <w:t xml:space="preserve">tumour </w:t>
      </w:r>
      <w:r>
        <w:t>testing</w:t>
      </w:r>
      <w:r w:rsidR="00F83ECD">
        <w:t xml:space="preserve"> to detect somatic BRCA1/2 gene mutations</w:t>
      </w:r>
      <w:r>
        <w:t xml:space="preserve"> is manageable even if the number of laboratories conducting testing does not increase.  </w:t>
      </w:r>
      <w:proofErr w:type="gramStart"/>
      <w:r w:rsidR="00BB0C00">
        <w:rPr>
          <w:b/>
        </w:rPr>
        <w:t>Redacted.</w:t>
      </w:r>
      <w:proofErr w:type="gramEnd"/>
    </w:p>
    <w:p w:rsidR="00BB0C00" w:rsidRDefault="00BB0C00" w:rsidP="00710E24">
      <w:pPr>
        <w:ind w:left="360"/>
      </w:pPr>
    </w:p>
    <w:p w:rsidR="003433D1" w:rsidRDefault="003433D1" w:rsidP="00710E24">
      <w:pPr>
        <w:ind w:left="360"/>
      </w:pPr>
      <w: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951933" w:rsidRPr="00154B00" w:rsidRDefault="008E6A83" w:rsidP="00AE1188">
      <w:pPr>
        <w:ind w:left="426"/>
        <w:rPr>
          <w:szCs w:val="20"/>
        </w:rPr>
      </w:pPr>
      <w:r>
        <w:t xml:space="preserve">The current MBS fee for </w:t>
      </w:r>
      <w:r w:rsidR="0000119E">
        <w:t>detection of germline BRCA1 or BRCA2 mutations according to Item 73295 or Item 73296 is $1,200.00</w:t>
      </w:r>
      <w:r w:rsidR="002D255E">
        <w:t xml:space="preserve">.  </w:t>
      </w:r>
      <w:bookmarkStart w:id="19" w:name="_Hlk507494041"/>
      <w:r w:rsidR="002D255E">
        <w:t xml:space="preserve">Tumour testing to detect somatic BRCA1/2 </w:t>
      </w:r>
      <w:bookmarkEnd w:id="19"/>
      <w:r w:rsidR="002D255E">
        <w:t xml:space="preserve">may have additional complexity over blood-based tumour testing as </w:t>
      </w:r>
      <w:r w:rsidR="00801ED9">
        <w:t xml:space="preserve">FFPE </w:t>
      </w:r>
      <w:r w:rsidR="002D255E">
        <w:t>tumour specimens may need to be retrieved from archive and tr</w:t>
      </w:r>
      <w:r w:rsidR="00801ED9">
        <w:t>ansported to the testing laboratory.  Macro or micro-dissection of the tumour specimen may be required and DNA quality assurance may be carried out prior to next generation sequencing.  Depending on the quality and quantity of the specimen, multiplex ligation-d</w:t>
      </w:r>
      <w:r w:rsidR="00A00327">
        <w:t>ependent probe amplification (M</w:t>
      </w:r>
      <w:r w:rsidR="00801ED9">
        <w:t>L</w:t>
      </w:r>
      <w:r w:rsidR="00A00327">
        <w:t>P</w:t>
      </w:r>
      <w:r w:rsidR="00801ED9">
        <w:t xml:space="preserve">A) may be required.  To make provision for these costs an MBS fee of </w:t>
      </w:r>
      <w:r w:rsidR="00DD4629" w:rsidRPr="00DD4629">
        <w:rPr>
          <w:b/>
        </w:rPr>
        <w:t>Redacted</w:t>
      </w:r>
      <w:r w:rsidR="00DD4629">
        <w:t xml:space="preserve"> </w:t>
      </w:r>
      <w:r w:rsidR="002224EC">
        <w:t>is proposed for tumour testing to detect somatic BRCA1/2 mutations.</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D06F36" w:rsidRPr="00D06F36" w:rsidRDefault="002D255E" w:rsidP="00D06F36">
      <w:pPr>
        <w:ind w:left="360"/>
        <w:rPr>
          <w:szCs w:val="20"/>
        </w:rPr>
      </w:pPr>
      <w:r>
        <w:rPr>
          <w:szCs w:val="20"/>
        </w:rPr>
        <w:t xml:space="preserve">Tumour testing to detect </w:t>
      </w:r>
      <w:r w:rsidR="000C1A6C">
        <w:rPr>
          <w:szCs w:val="20"/>
        </w:rPr>
        <w:t xml:space="preserve">somatic BRCA1/2 mutations </w:t>
      </w:r>
      <w:r>
        <w:rPr>
          <w:szCs w:val="20"/>
        </w:rPr>
        <w:t>take</w:t>
      </w:r>
      <w:r w:rsidR="001B3752">
        <w:rPr>
          <w:szCs w:val="20"/>
        </w:rPr>
        <w:t>s 6-8</w:t>
      </w:r>
      <w:r w:rsidR="000C1A6C">
        <w:rPr>
          <w:szCs w:val="20"/>
        </w:rPr>
        <w:t xml:space="preserve"> weeks</w:t>
      </w:r>
      <w:r>
        <w:rPr>
          <w:szCs w:val="20"/>
        </w:rPr>
        <w:t xml:space="preserve"> </w:t>
      </w:r>
      <w:r w:rsidR="000C1A6C">
        <w:rPr>
          <w:szCs w:val="20"/>
        </w:rPr>
        <w:t xml:space="preserve">from request to reporting.  This includes time to request and transport tumour specimen </w:t>
      </w:r>
      <w:r w:rsidR="007909F8">
        <w:rPr>
          <w:szCs w:val="20"/>
        </w:rPr>
        <w:t xml:space="preserve">to a specialist laboratory </w:t>
      </w:r>
      <w:r w:rsidR="000C1A6C">
        <w:rPr>
          <w:szCs w:val="20"/>
        </w:rPr>
        <w:t>if needed</w:t>
      </w:r>
      <w:r w:rsidR="007909F8">
        <w:rPr>
          <w:szCs w:val="20"/>
        </w:rPr>
        <w:t xml:space="preserve"> (7-10 days)</w:t>
      </w:r>
      <w:r w:rsidR="000C1A6C">
        <w:rPr>
          <w:szCs w:val="20"/>
        </w:rPr>
        <w:t xml:space="preserve">.  Testing in the laboratory </w:t>
      </w:r>
      <w:r w:rsidR="00A00327">
        <w:rPr>
          <w:szCs w:val="20"/>
        </w:rPr>
        <w:t xml:space="preserve">may require </w:t>
      </w:r>
      <w:r>
        <w:rPr>
          <w:szCs w:val="20"/>
        </w:rPr>
        <w:t>several</w:t>
      </w:r>
      <w:r w:rsidR="00D06F36" w:rsidRPr="00D06F36">
        <w:rPr>
          <w:szCs w:val="20"/>
        </w:rPr>
        <w:t xml:space="preserve"> hours </w:t>
      </w:r>
      <w:r w:rsidR="00A00327">
        <w:rPr>
          <w:szCs w:val="20"/>
        </w:rPr>
        <w:t xml:space="preserve">of activity </w:t>
      </w:r>
      <w:r w:rsidR="00D06F36" w:rsidRPr="00D06F36">
        <w:rPr>
          <w:szCs w:val="20"/>
        </w:rPr>
        <w:t xml:space="preserve">to perform </w:t>
      </w:r>
      <w:r w:rsidR="00A00327">
        <w:rPr>
          <w:szCs w:val="20"/>
        </w:rPr>
        <w:t xml:space="preserve">plus run time for automated processes </w:t>
      </w:r>
      <w:r w:rsidR="00D06F36" w:rsidRPr="00D06F36">
        <w:rPr>
          <w:szCs w:val="20"/>
        </w:rPr>
        <w:t xml:space="preserve">depending on instrumentation </w:t>
      </w:r>
      <w:r w:rsidR="00D06F36">
        <w:rPr>
          <w:szCs w:val="20"/>
        </w:rPr>
        <w:t>and p</w:t>
      </w:r>
      <w:r>
        <w:rPr>
          <w:szCs w:val="20"/>
        </w:rPr>
        <w:t>rocedures</w:t>
      </w:r>
      <w:r w:rsidR="00D06F36">
        <w:rPr>
          <w:szCs w:val="20"/>
        </w:rPr>
        <w:t xml:space="preserve"> being followed</w:t>
      </w:r>
      <w:r w:rsidR="007909F8">
        <w:rPr>
          <w:szCs w:val="20"/>
        </w:rPr>
        <w:t xml:space="preserve"> and could take up to 4 weeks. 1-2 days to report the results to requesting specialist or consultant physician</w:t>
      </w:r>
      <w:r w:rsidR="00D06F36">
        <w:rPr>
          <w:szCs w:val="20"/>
        </w:rPr>
        <w:t>.</w:t>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3A2FCC" w:rsidRDefault="00816FC1" w:rsidP="003A2FCC">
      <w:r>
        <w:t xml:space="preserve">This submission requests a modification to the MBS Item 73295 </w:t>
      </w:r>
      <w:r w:rsidR="001546E4">
        <w:t>item descriptor</w:t>
      </w:r>
      <w:r>
        <w:t>, and also the creation of a</w:t>
      </w:r>
      <w:r w:rsidR="001546E4">
        <w:t xml:space="preserve"> new </w:t>
      </w:r>
      <w:r>
        <w:t xml:space="preserve">MBS item for </w:t>
      </w:r>
      <w:r w:rsidR="001546E4">
        <w:t xml:space="preserve">tumour </w:t>
      </w:r>
      <w:r>
        <w:t>testing to detect somatic mutations, as follows</w:t>
      </w:r>
      <w:r w:rsidR="001546E4">
        <w:t>:</w:t>
      </w:r>
    </w:p>
    <w:p w:rsidR="00816FC1" w:rsidRPr="003A2FCC" w:rsidRDefault="00816FC1" w:rsidP="00816FC1"/>
    <w:p w:rsidR="00816FC1" w:rsidRPr="00AE1188" w:rsidRDefault="00816FC1" w:rsidP="00816FC1">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 xml:space="preserve">6 </w:t>
      </w:r>
      <w:r w:rsidRPr="00AE1188">
        <w:rPr>
          <w:szCs w:val="20"/>
        </w:rPr>
        <w:t xml:space="preserve">– </w:t>
      </w:r>
      <w:r>
        <w:t>Pathology Services</w:t>
      </w:r>
    </w:p>
    <w:p w:rsidR="00816FC1" w:rsidRPr="00AE1188" w:rsidRDefault="00C94F16" w:rsidP="00C94F16">
      <w:pPr>
        <w:pBdr>
          <w:top w:val="single" w:sz="4" w:space="1" w:color="auto"/>
          <w:left w:val="single" w:sz="4" w:space="4" w:color="auto"/>
          <w:bottom w:val="single" w:sz="4" w:space="1" w:color="auto"/>
          <w:right w:val="single" w:sz="4" w:space="4" w:color="auto"/>
        </w:pBdr>
        <w:tabs>
          <w:tab w:val="left" w:pos="5954"/>
        </w:tabs>
        <w:rPr>
          <w:szCs w:val="20"/>
        </w:rPr>
      </w:pPr>
      <w:r>
        <w:rPr>
          <w:szCs w:val="20"/>
        </w:rPr>
        <w:t>Item 73295</w:t>
      </w:r>
      <w:r>
        <w:rPr>
          <w:szCs w:val="20"/>
        </w:rPr>
        <w:tab/>
      </w:r>
      <w:r>
        <w:rPr>
          <w:szCs w:val="20"/>
        </w:rPr>
        <w:tab/>
      </w:r>
      <w:r w:rsidR="00816FC1">
        <w:rPr>
          <w:szCs w:val="20"/>
        </w:rPr>
        <w:t>Group P7 - Genetics</w:t>
      </w:r>
    </w:p>
    <w:p w:rsidR="001546E4" w:rsidRPr="001546E4" w:rsidRDefault="001546E4" w:rsidP="001546E4">
      <w:pPr>
        <w:pBdr>
          <w:top w:val="single" w:sz="4" w:space="1" w:color="auto"/>
          <w:left w:val="single" w:sz="4" w:space="4" w:color="auto"/>
          <w:bottom w:val="single" w:sz="4" w:space="1" w:color="auto"/>
          <w:right w:val="single" w:sz="4" w:space="4" w:color="auto"/>
        </w:pBdr>
        <w:rPr>
          <w:szCs w:val="20"/>
        </w:rPr>
      </w:pPr>
      <w:r w:rsidRPr="001546E4">
        <w:rPr>
          <w:szCs w:val="20"/>
        </w:rPr>
        <w:t xml:space="preserve">Detection of germline BRCA1 or BRCA2 gene mutations, in a patient with platinum-sensitive relapsed ovarian, fallopian tube or primary peritoneal cancer with high grade serous features or a high grade serous component, </w:t>
      </w:r>
      <w:r w:rsidRPr="001546E4">
        <w:rPr>
          <w:strike/>
          <w:color w:val="FF0000"/>
          <w:szCs w:val="20"/>
        </w:rPr>
        <w:t>and who has responded to subsequent platinum-based chemotherapy</w:t>
      </w:r>
      <w:r w:rsidRPr="001546E4">
        <w:rPr>
          <w:szCs w:val="20"/>
        </w:rPr>
        <w:t xml:space="preserve">, requested by a specialist or consultant physician, to determine whether the eligibility criteria for </w:t>
      </w:r>
      <w:proofErr w:type="spellStart"/>
      <w:r w:rsidRPr="001546E4">
        <w:rPr>
          <w:szCs w:val="20"/>
        </w:rPr>
        <w:t>olaparib</w:t>
      </w:r>
      <w:proofErr w:type="spellEnd"/>
      <w:r w:rsidRPr="001546E4">
        <w:rPr>
          <w:szCs w:val="20"/>
        </w:rPr>
        <w:t xml:space="preserve"> under the Pharmaceutical Benefits Scheme (PBS) are fulfilled. </w:t>
      </w:r>
    </w:p>
    <w:p w:rsidR="00816FC1" w:rsidRDefault="001546E4" w:rsidP="00816FC1">
      <w:pPr>
        <w:pBdr>
          <w:top w:val="single" w:sz="4" w:space="1" w:color="auto"/>
          <w:left w:val="single" w:sz="4" w:space="4" w:color="auto"/>
          <w:bottom w:val="single" w:sz="4" w:space="1" w:color="auto"/>
          <w:right w:val="single" w:sz="4" w:space="4" w:color="auto"/>
        </w:pBdr>
        <w:rPr>
          <w:szCs w:val="20"/>
        </w:rPr>
      </w:pPr>
      <w:r>
        <w:rPr>
          <w:szCs w:val="20"/>
        </w:rPr>
        <w:t xml:space="preserve">Maximum one test per lifetime </w:t>
      </w:r>
    </w:p>
    <w:p w:rsidR="00816FC1" w:rsidRPr="00AE1188" w:rsidRDefault="001546E4" w:rsidP="00816FC1">
      <w:pPr>
        <w:pBdr>
          <w:top w:val="single" w:sz="4" w:space="1" w:color="auto"/>
          <w:left w:val="single" w:sz="4" w:space="4" w:color="auto"/>
          <w:bottom w:val="single" w:sz="4" w:space="1" w:color="auto"/>
          <w:right w:val="single" w:sz="4" w:space="4" w:color="auto"/>
        </w:pBdr>
        <w:rPr>
          <w:szCs w:val="20"/>
        </w:rPr>
      </w:pPr>
      <w:r>
        <w:rPr>
          <w:szCs w:val="20"/>
        </w:rPr>
        <w:t>Fee: $</w:t>
      </w:r>
      <w:proofErr w:type="gramStart"/>
      <w:r>
        <w:rPr>
          <w:szCs w:val="20"/>
        </w:rPr>
        <w:t>12</w:t>
      </w:r>
      <w:r w:rsidR="00816FC1">
        <w:rPr>
          <w:szCs w:val="20"/>
        </w:rPr>
        <w:t xml:space="preserve">00.00 </w:t>
      </w:r>
      <w:r w:rsidR="00816FC1">
        <w:t xml:space="preserve"> Benefit</w:t>
      </w:r>
      <w:proofErr w:type="gramEnd"/>
      <w:r w:rsidR="00816FC1">
        <w:t xml:space="preserve">: </w:t>
      </w:r>
      <w:r w:rsidR="000C1A6C">
        <w:t>75% = $900.00</w:t>
      </w:r>
      <w:r w:rsidR="000C1A6C">
        <w:tab/>
        <w:t>85% = $1020</w:t>
      </w:r>
      <w:r w:rsidR="00816FC1">
        <w:t>.00</w:t>
      </w:r>
    </w:p>
    <w:p w:rsidR="003A2FCC" w:rsidRPr="003A2FCC" w:rsidRDefault="003A2FCC" w:rsidP="003A2FCC"/>
    <w:p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CE7E44">
        <w:t xml:space="preserve">6 </w:t>
      </w:r>
      <w:r w:rsidRPr="00AE1188">
        <w:rPr>
          <w:szCs w:val="20"/>
        </w:rPr>
        <w:t xml:space="preserve">– </w:t>
      </w:r>
      <w:r w:rsidR="00CE7E44">
        <w:t>Pathology Services</w:t>
      </w:r>
    </w:p>
    <w:p w:rsidR="00AE1188" w:rsidRPr="00AE1188" w:rsidRDefault="00FA2A47" w:rsidP="00C94F16">
      <w:pPr>
        <w:pBdr>
          <w:top w:val="single" w:sz="4" w:space="1" w:color="auto"/>
          <w:left w:val="single" w:sz="4" w:space="4" w:color="auto"/>
          <w:bottom w:val="single" w:sz="4" w:space="1" w:color="auto"/>
          <w:right w:val="single" w:sz="4" w:space="4" w:color="auto"/>
        </w:pBdr>
        <w:tabs>
          <w:tab w:val="left" w:pos="6379"/>
          <w:tab w:val="left" w:pos="7088"/>
        </w:tabs>
        <w:rPr>
          <w:szCs w:val="20"/>
        </w:rPr>
      </w:pPr>
      <w:r>
        <w:rPr>
          <w:szCs w:val="20"/>
        </w:rPr>
        <w:t>MBS item number</w:t>
      </w:r>
      <w:r w:rsidR="00C94F16">
        <w:rPr>
          <w:szCs w:val="20"/>
        </w:rPr>
        <w:tab/>
      </w:r>
      <w:r w:rsidR="002224EC">
        <w:rPr>
          <w:szCs w:val="20"/>
        </w:rPr>
        <w:t>Group P7 - Genetics</w:t>
      </w:r>
    </w:p>
    <w:p w:rsid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rsidR="00AC7E6A" w:rsidRDefault="00AC7E6A" w:rsidP="00AE1188">
      <w:pPr>
        <w:pBdr>
          <w:top w:val="single" w:sz="4" w:space="1" w:color="auto"/>
          <w:left w:val="single" w:sz="4" w:space="4" w:color="auto"/>
          <w:bottom w:val="single" w:sz="4" w:space="1" w:color="auto"/>
          <w:right w:val="single" w:sz="4" w:space="4" w:color="auto"/>
        </w:pBdr>
      </w:pPr>
      <w:r>
        <w:rPr>
          <w:szCs w:val="20"/>
        </w:rPr>
        <w:t xml:space="preserve">Tumour tissue testing for detection of </w:t>
      </w:r>
      <w:r w:rsidR="004B7636">
        <w:rPr>
          <w:szCs w:val="20"/>
        </w:rPr>
        <w:t xml:space="preserve">somatic BRCA1 or BRCA2 gene mutations, in a patient with platinum- sensitive relapsed ovarian, fallopian tube or primary peritoneal </w:t>
      </w:r>
      <w:r w:rsidR="001A6804">
        <w:rPr>
          <w:szCs w:val="20"/>
        </w:rPr>
        <w:t>cancer with high grade serous features or high grade serous com</w:t>
      </w:r>
      <w:r w:rsidR="000C1A6C">
        <w:rPr>
          <w:szCs w:val="20"/>
        </w:rPr>
        <w:t xml:space="preserve">ponent, </w:t>
      </w:r>
      <w:r w:rsidR="001A6804">
        <w:rPr>
          <w:szCs w:val="20"/>
        </w:rPr>
        <w:t xml:space="preserve">and has been tested for germline BRCA1/2 gene mutations under MBS Item 73295 or 73296 and was found to be </w:t>
      </w:r>
      <w:r w:rsidR="007F0266">
        <w:rPr>
          <w:szCs w:val="20"/>
        </w:rPr>
        <w:t xml:space="preserve">germline </w:t>
      </w:r>
      <w:r w:rsidR="001A6804">
        <w:rPr>
          <w:szCs w:val="20"/>
        </w:rPr>
        <w:t>BRCA1/2 wild-type</w:t>
      </w:r>
      <w:r w:rsidR="007F0266">
        <w:rPr>
          <w:szCs w:val="20"/>
        </w:rPr>
        <w:t xml:space="preserve">, requested by a specialist or consultant physician, to determine whether eligibility criteria for </w:t>
      </w:r>
      <w:proofErr w:type="spellStart"/>
      <w:r w:rsidR="007F0266">
        <w:rPr>
          <w:szCs w:val="20"/>
        </w:rPr>
        <w:t>olaparib</w:t>
      </w:r>
      <w:proofErr w:type="spellEnd"/>
      <w:r w:rsidR="007F0266">
        <w:rPr>
          <w:szCs w:val="20"/>
        </w:rPr>
        <w:t xml:space="preserve"> under the Pharmaceutical Benefits Scheme (PBS) are fulfilled.</w:t>
      </w:r>
    </w:p>
    <w:p w:rsidR="00AE1188" w:rsidRPr="00AE1188" w:rsidRDefault="002224EC" w:rsidP="00AE1188">
      <w:pPr>
        <w:pBdr>
          <w:top w:val="single" w:sz="4" w:space="1" w:color="auto"/>
          <w:left w:val="single" w:sz="4" w:space="4" w:color="auto"/>
          <w:bottom w:val="single" w:sz="4" w:space="1" w:color="auto"/>
          <w:right w:val="single" w:sz="4" w:space="4" w:color="auto"/>
        </w:pBdr>
        <w:rPr>
          <w:szCs w:val="20"/>
        </w:rPr>
      </w:pPr>
      <w:proofErr w:type="spellStart"/>
      <w:r>
        <w:rPr>
          <w:szCs w:val="20"/>
        </w:rPr>
        <w:t>Fee</w:t>
      </w:r>
      <w:proofErr w:type="gramStart"/>
      <w:r>
        <w:rPr>
          <w:szCs w:val="20"/>
        </w:rPr>
        <w:t>:</w:t>
      </w:r>
      <w:r w:rsidR="00DD4629" w:rsidRPr="00DD4629">
        <w:rPr>
          <w:b/>
          <w:szCs w:val="20"/>
        </w:rPr>
        <w:t>Redacted</w:t>
      </w:r>
      <w:proofErr w:type="spellEnd"/>
      <w:proofErr w:type="gramEnd"/>
      <w:r w:rsidR="0075736D">
        <w:rPr>
          <w:szCs w:val="20"/>
        </w:rPr>
        <w:t xml:space="preserve"> </w:t>
      </w:r>
      <w:r>
        <w:t xml:space="preserve"> Benefit: </w:t>
      </w:r>
      <w:r w:rsidR="00AC7E6A">
        <w:t>75% =</w:t>
      </w:r>
      <w:r w:rsidR="00DD4629" w:rsidRPr="00DD4629">
        <w:rPr>
          <w:b/>
        </w:rPr>
        <w:t>Redacted</w:t>
      </w:r>
      <w:r w:rsidR="00AC7E6A">
        <w:tab/>
        <w:t xml:space="preserve">85% = </w:t>
      </w:r>
      <w:r w:rsidR="00DD4629" w:rsidRPr="00DD4629">
        <w:rPr>
          <w:b/>
        </w:rPr>
        <w:t>Redacted</w:t>
      </w:r>
    </w:p>
    <w:p w:rsidR="00816FC1" w:rsidRDefault="00816FC1" w:rsidP="00816FC1"/>
    <w:p w:rsidR="00581E78" w:rsidRDefault="00581E78" w:rsidP="00D73B44"/>
    <w:p w:rsidR="00375070" w:rsidRDefault="007F0266" w:rsidP="00D73B44">
      <w:pPr>
        <w:rPr>
          <w:szCs w:val="20"/>
        </w:rPr>
      </w:pPr>
      <w:r>
        <w:lastRenderedPageBreak/>
        <w:t>The proposed PBS Item descriptor</w:t>
      </w:r>
      <w:r w:rsidR="00D73B44">
        <w:t xml:space="preserve">s for </w:t>
      </w:r>
      <w:proofErr w:type="spellStart"/>
      <w:r w:rsidR="00D73B44">
        <w:t>olaparib</w:t>
      </w:r>
      <w:proofErr w:type="spellEnd"/>
      <w:r w:rsidR="00D73B44">
        <w:t xml:space="preserve"> in </w:t>
      </w:r>
      <w:r w:rsidR="00D73B44">
        <w:rPr>
          <w:szCs w:val="20"/>
        </w:rPr>
        <w:t xml:space="preserve">ovarian, fallopian tube or primary peritoneal cancer would </w:t>
      </w:r>
      <w:r w:rsidR="00581E78">
        <w:rPr>
          <w:szCs w:val="20"/>
        </w:rPr>
        <w:t xml:space="preserve">also </w:t>
      </w:r>
      <w:r w:rsidR="00D73B44">
        <w:rPr>
          <w:szCs w:val="20"/>
        </w:rPr>
        <w:t>require modification as follows:</w:t>
      </w:r>
    </w:p>
    <w:p w:rsidR="00581E78" w:rsidRPr="00581E78" w:rsidRDefault="00581E78" w:rsidP="00581E78">
      <w:pPr>
        <w:rPr>
          <w:b/>
        </w:rPr>
      </w:pPr>
      <w:r w:rsidRPr="00581E78">
        <w:rPr>
          <w:b/>
        </w:rPr>
        <w:t>High grade serous ovarian cancer</w:t>
      </w:r>
    </w:p>
    <w:p w:rsidR="00581E78" w:rsidRDefault="00581E78" w:rsidP="00581E78">
      <w:r>
        <w:t>Treatment Phase: Initial treatment</w:t>
      </w:r>
    </w:p>
    <w:p w:rsidR="00581E78" w:rsidRDefault="00581E78" w:rsidP="00581E78">
      <w:r>
        <w:t>Clinical criteria:</w:t>
      </w:r>
    </w:p>
    <w:p w:rsidR="00581E78" w:rsidRDefault="00581E78" w:rsidP="00581E78">
      <w:r>
        <w:t>The condition must be platinum sensitive,</w:t>
      </w:r>
    </w:p>
    <w:p w:rsidR="00581E78" w:rsidRDefault="00581E78" w:rsidP="00581E78">
      <w:r>
        <w:t>AND</w:t>
      </w:r>
    </w:p>
    <w:p w:rsidR="00581E78" w:rsidRDefault="00581E78" w:rsidP="00581E78">
      <w:r>
        <w:t>Patient must have received at least two previous platinum-containing regimens,</w:t>
      </w:r>
    </w:p>
    <w:p w:rsidR="00581E78" w:rsidRDefault="00581E78" w:rsidP="00581E78">
      <w:r>
        <w:t>AND</w:t>
      </w:r>
    </w:p>
    <w:p w:rsidR="00581E78" w:rsidRDefault="00581E78" w:rsidP="00581E78">
      <w:r>
        <w:t>Patient must have relapsed following a previous platinum-containing regimen,</w:t>
      </w:r>
    </w:p>
    <w:p w:rsidR="00581E78" w:rsidRDefault="00581E78" w:rsidP="00581E78">
      <w:r>
        <w:t>AND</w:t>
      </w:r>
    </w:p>
    <w:p w:rsidR="00581E78" w:rsidRDefault="00581E78" w:rsidP="00581E78">
      <w:r>
        <w:t xml:space="preserve">Patient must be in partial or complete response to the immediately preceding platinum-based chemotherapy regimen, </w:t>
      </w:r>
    </w:p>
    <w:p w:rsidR="00581E78" w:rsidRDefault="00581E78" w:rsidP="00581E78">
      <w:r>
        <w:t>AND</w:t>
      </w:r>
    </w:p>
    <w:p w:rsidR="00581E78" w:rsidRDefault="00581E78" w:rsidP="00581E78">
      <w:r>
        <w:t>The treatment must be the sole PBS-subsidised therapy for this condition,</w:t>
      </w:r>
    </w:p>
    <w:p w:rsidR="00581E78" w:rsidRDefault="00581E78" w:rsidP="00581E78">
      <w:r>
        <w:t>AND</w:t>
      </w:r>
    </w:p>
    <w:p w:rsidR="00581E78" w:rsidRDefault="00581E78" w:rsidP="00581E78">
      <w:r>
        <w:t>The treatment must be maintenance therapy,</w:t>
      </w:r>
    </w:p>
    <w:p w:rsidR="00581E78" w:rsidRDefault="00581E78" w:rsidP="00581E78">
      <w:r>
        <w:t>AND</w:t>
      </w:r>
    </w:p>
    <w:p w:rsidR="00581E78" w:rsidRDefault="00581E78" w:rsidP="00581E78">
      <w:r>
        <w:t xml:space="preserve">Patient must not have previously received PBS-subsidised treatment with this drug for this condition. </w:t>
      </w:r>
    </w:p>
    <w:p w:rsidR="00581E78" w:rsidRDefault="00581E78" w:rsidP="00581E78">
      <w:r>
        <w:t>Population criteria:</w:t>
      </w:r>
    </w:p>
    <w:p w:rsidR="00581E78" w:rsidRDefault="00581E78" w:rsidP="00581E78">
      <w:r>
        <w:t xml:space="preserve">Patient must have evidence of a germline </w:t>
      </w:r>
      <w:r>
        <w:rPr>
          <w:color w:val="FF0000"/>
        </w:rPr>
        <w:t>or somatic</w:t>
      </w:r>
      <w:r>
        <w:t xml:space="preserve"> class 4 or 5 BRCA1 or BRCA2 gene mutation.</w:t>
      </w:r>
    </w:p>
    <w:p w:rsidR="00581E78" w:rsidRDefault="00581E78" w:rsidP="00581E78">
      <w:r>
        <w:t xml:space="preserve">Platinum sensitivity is defined as disease progression greater than 6 months after completion of the penultimate platinum regimen. </w:t>
      </w:r>
    </w:p>
    <w:p w:rsidR="00581E78" w:rsidRDefault="00581E78" w:rsidP="00581E78">
      <w:r>
        <w:t xml:space="preserve">A response (complete or partial) to the platinum-based chemotherapy regimen is to be assessed using either Gynaecologic Cancer </w:t>
      </w:r>
      <w:proofErr w:type="spellStart"/>
      <w:r>
        <w:t>InterGroup</w:t>
      </w:r>
      <w:proofErr w:type="spellEnd"/>
      <w:r>
        <w:t xml:space="preserve"> (GCIG) or Response Evaluation Criteria in Solid Tumours (RECIST) guidelines. </w:t>
      </w:r>
    </w:p>
    <w:p w:rsidR="00581E78" w:rsidRDefault="00581E78" w:rsidP="00581E78">
      <w:r>
        <w:t xml:space="preserve">Evidence of a BRCA1 or BRCA2 gene mutation must be derived through germline </w:t>
      </w:r>
      <w:r w:rsidR="00F4211F" w:rsidRPr="00F4211F">
        <w:rPr>
          <w:color w:val="FF0000"/>
        </w:rPr>
        <w:t xml:space="preserve">or somatic </w:t>
      </w:r>
      <w:r>
        <w:t xml:space="preserve">testing. </w:t>
      </w:r>
    </w:p>
    <w:p w:rsidR="00581E78" w:rsidRPr="00F4211F" w:rsidRDefault="00581E78" w:rsidP="00581E78">
      <w:pPr>
        <w:rPr>
          <w:b/>
        </w:rPr>
      </w:pPr>
      <w:r w:rsidRPr="00F4211F">
        <w:rPr>
          <w:b/>
        </w:rPr>
        <w:t>High grade serous ovarian cancer</w:t>
      </w:r>
    </w:p>
    <w:p w:rsidR="00581E78" w:rsidRDefault="00581E78" w:rsidP="00581E78">
      <w:r>
        <w:t>Treatment Phase: Continuing treatment</w:t>
      </w:r>
    </w:p>
    <w:p w:rsidR="00581E78" w:rsidRDefault="00581E78" w:rsidP="00581E78">
      <w:r>
        <w:t>Clinical criteria:</w:t>
      </w:r>
    </w:p>
    <w:p w:rsidR="00581E78" w:rsidRDefault="00581E78" w:rsidP="00581E78">
      <w:r>
        <w:t xml:space="preserve">Patient must have previously received PBS-subsidised treatment with this drug for this condition, </w:t>
      </w:r>
    </w:p>
    <w:p w:rsidR="00581E78" w:rsidRDefault="00581E78" w:rsidP="00581E78">
      <w:r>
        <w:t>AND</w:t>
      </w:r>
    </w:p>
    <w:p w:rsidR="00581E78" w:rsidRDefault="00581E78" w:rsidP="00581E78">
      <w:r>
        <w:t>The treatment must be the sole PBS-subsidised therapy for this condition,</w:t>
      </w:r>
    </w:p>
    <w:p w:rsidR="00581E78" w:rsidRDefault="00581E78" w:rsidP="00581E78">
      <w:r>
        <w:t>AND</w:t>
      </w:r>
    </w:p>
    <w:p w:rsidR="00581E78" w:rsidRDefault="00581E78" w:rsidP="00581E78">
      <w:r>
        <w:t>The treatment must be maintenance therapy,</w:t>
      </w:r>
    </w:p>
    <w:p w:rsidR="00581E78" w:rsidRDefault="00581E78" w:rsidP="00581E78">
      <w:r>
        <w:t>AND</w:t>
      </w:r>
    </w:p>
    <w:p w:rsidR="00F4211F" w:rsidRDefault="00581E78" w:rsidP="00581E78">
      <w:r>
        <w:t>Patient must not have progressive disease.</w:t>
      </w:r>
    </w:p>
    <w:p w:rsidR="00F4211F" w:rsidRDefault="00F4211F" w:rsidP="00581E78"/>
    <w:p w:rsidR="00AE1188" w:rsidRDefault="00F4211F" w:rsidP="00581E78">
      <w:proofErr w:type="spellStart"/>
      <w:r>
        <w:t>Olaparib</w:t>
      </w:r>
      <w:proofErr w:type="spellEnd"/>
      <w:r>
        <w:t xml:space="preserve"> PBS list and net pricing is proposed to be the same as current.</w:t>
      </w:r>
      <w:r w:rsidR="00581E78">
        <w:t xml:space="preserve"> </w:t>
      </w:r>
      <w:r w:rsidR="00AE1188">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75736D" w:rsidP="00603D04">
      <w:pPr>
        <w:ind w:left="426"/>
        <w:rPr>
          <w:szCs w:val="20"/>
        </w:rPr>
      </w:pPr>
      <w:r>
        <w:t>Approximately four weeks</w:t>
      </w:r>
      <w:r w:rsidR="00BC3052">
        <w:t>.</w:t>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DD4629"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B57E8">
        <w:rPr>
          <w:szCs w:val="20"/>
        </w:rPr>
      </w:r>
      <w:r w:rsidR="005B57E8">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1B5169">
      <w:pPr>
        <w:pStyle w:val="Heading2"/>
        <w:numPr>
          <w:ilvl w:val="0"/>
          <w:numId w:val="31"/>
        </w:numPr>
      </w:pPr>
      <w:r>
        <w:t>If no, provide areas of concern:</w:t>
      </w:r>
    </w:p>
    <w:p w:rsidR="003D6DE1" w:rsidRPr="00154B00" w:rsidRDefault="003D6DE1" w:rsidP="00603D04">
      <w:pPr>
        <w:ind w:left="426"/>
        <w:rPr>
          <w:szCs w:val="20"/>
        </w:rPr>
      </w:pP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DD4629"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B57E8">
        <w:rPr>
          <w:szCs w:val="20"/>
        </w:rPr>
      </w:r>
      <w:r w:rsidR="005B57E8">
        <w:rPr>
          <w:szCs w:val="20"/>
        </w:rPr>
        <w:fldChar w:fldCharType="separate"/>
      </w:r>
      <w:r w:rsidRPr="001B29A1">
        <w:rPr>
          <w:szCs w:val="20"/>
        </w:rPr>
        <w:fldChar w:fldCharType="end"/>
      </w:r>
      <w:r w:rsidRPr="001B29A1">
        <w:rPr>
          <w:szCs w:val="20"/>
        </w:rPr>
        <w:t xml:space="preserve"> </w:t>
      </w:r>
      <w:r>
        <w:rPr>
          <w:szCs w:val="20"/>
        </w:rPr>
        <w:t>No</w:t>
      </w:r>
    </w:p>
    <w:p w:rsidR="00BC3052" w:rsidRPr="001B29A1" w:rsidRDefault="00BC3052" w:rsidP="00603D04">
      <w:pPr>
        <w:spacing w:before="0" w:after="0"/>
        <w:ind w:left="426"/>
        <w:rPr>
          <w:szCs w:val="20"/>
        </w:rPr>
      </w:pPr>
    </w:p>
    <w:p w:rsidR="003D6DE1" w:rsidRPr="00154B00" w:rsidRDefault="003D6DE1" w:rsidP="001B5169">
      <w:pPr>
        <w:pStyle w:val="Heading2"/>
        <w:numPr>
          <w:ilvl w:val="0"/>
          <w:numId w:val="32"/>
        </w:numPr>
      </w:pPr>
      <w:r>
        <w:t>If no, what areas did you find not to be useful?</w:t>
      </w:r>
    </w:p>
    <w:p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DD4629" w:rsidP="00603D04">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B57E8">
        <w:rPr>
          <w:szCs w:val="20"/>
        </w:rPr>
      </w:r>
      <w:r w:rsidR="005B57E8">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B57E8">
        <w:rPr>
          <w:szCs w:val="20"/>
        </w:rPr>
      </w:r>
      <w:r w:rsidR="005B57E8">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rsidR="00451840" w:rsidRDefault="00451840" w:rsidP="00603D04">
      <w:pPr>
        <w:ind w:left="426"/>
        <w:rPr>
          <w:szCs w:val="20"/>
        </w:r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16" w:rsidRDefault="00C94F16" w:rsidP="00CF2DFA">
      <w:pPr>
        <w:spacing w:after="0"/>
      </w:pPr>
      <w:r>
        <w:separator/>
      </w:r>
    </w:p>
  </w:endnote>
  <w:endnote w:type="continuationSeparator" w:id="0">
    <w:p w:rsidR="00C94F16" w:rsidRDefault="00C94F1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C94F16" w:rsidRDefault="00C94F16">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B57E8" w:rsidRPr="005B57E8">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C94F16" w:rsidRPr="003F7CB9" w:rsidRDefault="00C94F16"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16" w:rsidRDefault="00C94F16" w:rsidP="00CF2DFA">
      <w:pPr>
        <w:spacing w:after="0"/>
      </w:pPr>
      <w:r>
        <w:separator/>
      </w:r>
    </w:p>
  </w:footnote>
  <w:footnote w:type="continuationSeparator" w:id="0">
    <w:p w:rsidR="00C94F16" w:rsidRDefault="00C94F16"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5D14CE"/>
    <w:multiLevelType w:val="hybridMultilevel"/>
    <w:tmpl w:val="66D8C642"/>
    <w:lvl w:ilvl="0" w:tplc="5BA2B620">
      <w:numFmt w:val="bullet"/>
      <w:lvlText w:val=""/>
      <w:lvlJc w:val="left"/>
      <w:pPr>
        <w:ind w:left="717" w:hanging="360"/>
      </w:pPr>
      <w:rPr>
        <w:rFonts w:ascii="Symbol" w:eastAsiaTheme="minorHAnsi" w:hAnsi="Symbol" w:cstheme="minorBid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nsid w:val="0E3374B8"/>
    <w:multiLevelType w:val="hybridMultilevel"/>
    <w:tmpl w:val="25A0C5D8"/>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4">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AF40E0B"/>
    <w:multiLevelType w:val="hybridMultilevel"/>
    <w:tmpl w:val="CC58FDE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4B2B7369"/>
    <w:multiLevelType w:val="hybridMultilevel"/>
    <w:tmpl w:val="12A82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8C6DC8"/>
    <w:multiLevelType w:val="hybridMultilevel"/>
    <w:tmpl w:val="B4C470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7FB511FF"/>
    <w:multiLevelType w:val="hybridMultilevel"/>
    <w:tmpl w:val="4FC6CD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5"/>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5"/>
  </w:num>
  <w:num w:numId="27">
    <w:abstractNumId w:val="17"/>
  </w:num>
  <w:num w:numId="28">
    <w:abstractNumId w:val="12"/>
  </w:num>
  <w:num w:numId="29">
    <w:abstractNumId w:val="21"/>
  </w:num>
  <w:num w:numId="30">
    <w:abstractNumId w:val="4"/>
  </w:num>
  <w:num w:numId="31">
    <w:abstractNumId w:val="19"/>
  </w:num>
  <w:num w:numId="32">
    <w:abstractNumId w:val="8"/>
  </w:num>
  <w:num w:numId="33">
    <w:abstractNumId w:val="18"/>
  </w:num>
  <w:num w:numId="34">
    <w:abstractNumId w:val="7"/>
  </w:num>
  <w:num w:numId="35">
    <w:abstractNumId w:val="13"/>
  </w:num>
  <w:num w:numId="36">
    <w:abstractNumId w:val="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3"/>
  </w:num>
  <w:num w:numId="40">
    <w:abstractNumId w:val="24"/>
  </w:num>
  <w:num w:numId="41">
    <w:abstractNumId w:val="1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119E"/>
    <w:rsid w:val="0000396A"/>
    <w:rsid w:val="00003FD6"/>
    <w:rsid w:val="00007A97"/>
    <w:rsid w:val="000110DC"/>
    <w:rsid w:val="00014136"/>
    <w:rsid w:val="00014CDF"/>
    <w:rsid w:val="0001520B"/>
    <w:rsid w:val="00015746"/>
    <w:rsid w:val="000158AA"/>
    <w:rsid w:val="000159B9"/>
    <w:rsid w:val="00016798"/>
    <w:rsid w:val="00016B6E"/>
    <w:rsid w:val="000176DB"/>
    <w:rsid w:val="000178B2"/>
    <w:rsid w:val="000201E1"/>
    <w:rsid w:val="00022C4C"/>
    <w:rsid w:val="00023E21"/>
    <w:rsid w:val="0002494B"/>
    <w:rsid w:val="00024E50"/>
    <w:rsid w:val="00024FF8"/>
    <w:rsid w:val="00025ABC"/>
    <w:rsid w:val="00026412"/>
    <w:rsid w:val="00026FCE"/>
    <w:rsid w:val="0003062F"/>
    <w:rsid w:val="00031F6F"/>
    <w:rsid w:val="00034D6E"/>
    <w:rsid w:val="00036395"/>
    <w:rsid w:val="00040984"/>
    <w:rsid w:val="00041872"/>
    <w:rsid w:val="00041BF3"/>
    <w:rsid w:val="00042707"/>
    <w:rsid w:val="00045918"/>
    <w:rsid w:val="000464C6"/>
    <w:rsid w:val="0005089D"/>
    <w:rsid w:val="000519ED"/>
    <w:rsid w:val="000525BC"/>
    <w:rsid w:val="00053972"/>
    <w:rsid w:val="00056DE1"/>
    <w:rsid w:val="00063036"/>
    <w:rsid w:val="0006512F"/>
    <w:rsid w:val="0006532F"/>
    <w:rsid w:val="00065697"/>
    <w:rsid w:val="00067F5A"/>
    <w:rsid w:val="00071D47"/>
    <w:rsid w:val="00072622"/>
    <w:rsid w:val="00073222"/>
    <w:rsid w:val="0007384D"/>
    <w:rsid w:val="00075F6A"/>
    <w:rsid w:val="000769C4"/>
    <w:rsid w:val="000770BA"/>
    <w:rsid w:val="00080FA1"/>
    <w:rsid w:val="000864D5"/>
    <w:rsid w:val="000903F1"/>
    <w:rsid w:val="000905DC"/>
    <w:rsid w:val="00092403"/>
    <w:rsid w:val="00092580"/>
    <w:rsid w:val="00093E78"/>
    <w:rsid w:val="000955E7"/>
    <w:rsid w:val="000965BC"/>
    <w:rsid w:val="000979F0"/>
    <w:rsid w:val="000A063D"/>
    <w:rsid w:val="000A110D"/>
    <w:rsid w:val="000A1544"/>
    <w:rsid w:val="000A2B13"/>
    <w:rsid w:val="000A44FB"/>
    <w:rsid w:val="000A478F"/>
    <w:rsid w:val="000A5B32"/>
    <w:rsid w:val="000A62F4"/>
    <w:rsid w:val="000B3CD0"/>
    <w:rsid w:val="000B598D"/>
    <w:rsid w:val="000C1824"/>
    <w:rsid w:val="000C1A6C"/>
    <w:rsid w:val="000C40E6"/>
    <w:rsid w:val="000C5B49"/>
    <w:rsid w:val="000C75A0"/>
    <w:rsid w:val="000D066E"/>
    <w:rsid w:val="000D0831"/>
    <w:rsid w:val="000D0BAA"/>
    <w:rsid w:val="000D13FF"/>
    <w:rsid w:val="000D2637"/>
    <w:rsid w:val="000D504C"/>
    <w:rsid w:val="000D778E"/>
    <w:rsid w:val="000E04AF"/>
    <w:rsid w:val="000E302D"/>
    <w:rsid w:val="000E41FB"/>
    <w:rsid w:val="000E47E7"/>
    <w:rsid w:val="000E5439"/>
    <w:rsid w:val="000F1A7E"/>
    <w:rsid w:val="000F3B4B"/>
    <w:rsid w:val="000F4064"/>
    <w:rsid w:val="000F49A1"/>
    <w:rsid w:val="000F5236"/>
    <w:rsid w:val="000F72C5"/>
    <w:rsid w:val="000F7D4C"/>
    <w:rsid w:val="00101E17"/>
    <w:rsid w:val="001023A4"/>
    <w:rsid w:val="00102686"/>
    <w:rsid w:val="001047F3"/>
    <w:rsid w:val="0011036E"/>
    <w:rsid w:val="00110496"/>
    <w:rsid w:val="001106AE"/>
    <w:rsid w:val="001116DB"/>
    <w:rsid w:val="001130B0"/>
    <w:rsid w:val="0011369B"/>
    <w:rsid w:val="0011742E"/>
    <w:rsid w:val="00120DAC"/>
    <w:rsid w:val="00122EEC"/>
    <w:rsid w:val="0012369A"/>
    <w:rsid w:val="00123D10"/>
    <w:rsid w:val="00124B00"/>
    <w:rsid w:val="00126B33"/>
    <w:rsid w:val="001271B5"/>
    <w:rsid w:val="001278D2"/>
    <w:rsid w:val="00133ACD"/>
    <w:rsid w:val="00135405"/>
    <w:rsid w:val="00147BA1"/>
    <w:rsid w:val="00147BA5"/>
    <w:rsid w:val="001507D0"/>
    <w:rsid w:val="0015320C"/>
    <w:rsid w:val="0015436C"/>
    <w:rsid w:val="001546E4"/>
    <w:rsid w:val="00154775"/>
    <w:rsid w:val="00154871"/>
    <w:rsid w:val="00154B00"/>
    <w:rsid w:val="001550CF"/>
    <w:rsid w:val="00155C36"/>
    <w:rsid w:val="0016078E"/>
    <w:rsid w:val="001609A1"/>
    <w:rsid w:val="00160CC2"/>
    <w:rsid w:val="001644E9"/>
    <w:rsid w:val="00166A53"/>
    <w:rsid w:val="00174EF4"/>
    <w:rsid w:val="00175A60"/>
    <w:rsid w:val="0017606C"/>
    <w:rsid w:val="00177569"/>
    <w:rsid w:val="001800DF"/>
    <w:rsid w:val="00182113"/>
    <w:rsid w:val="00182F12"/>
    <w:rsid w:val="00182FCC"/>
    <w:rsid w:val="001845D9"/>
    <w:rsid w:val="001854DB"/>
    <w:rsid w:val="0018630F"/>
    <w:rsid w:val="001906CD"/>
    <w:rsid w:val="00191B99"/>
    <w:rsid w:val="00192F83"/>
    <w:rsid w:val="00193D72"/>
    <w:rsid w:val="001944BD"/>
    <w:rsid w:val="00195699"/>
    <w:rsid w:val="00197D29"/>
    <w:rsid w:val="001A02E3"/>
    <w:rsid w:val="001A1ADF"/>
    <w:rsid w:val="001A365C"/>
    <w:rsid w:val="001A3B8D"/>
    <w:rsid w:val="001A5600"/>
    <w:rsid w:val="001A6804"/>
    <w:rsid w:val="001A6DB2"/>
    <w:rsid w:val="001A73D9"/>
    <w:rsid w:val="001B15CE"/>
    <w:rsid w:val="001B171D"/>
    <w:rsid w:val="001B1F12"/>
    <w:rsid w:val="001B29A1"/>
    <w:rsid w:val="001B3752"/>
    <w:rsid w:val="001B5169"/>
    <w:rsid w:val="001B6164"/>
    <w:rsid w:val="001B708A"/>
    <w:rsid w:val="001C30A4"/>
    <w:rsid w:val="001C40DC"/>
    <w:rsid w:val="001C6214"/>
    <w:rsid w:val="001D0D92"/>
    <w:rsid w:val="001D2E13"/>
    <w:rsid w:val="001D556F"/>
    <w:rsid w:val="001D5893"/>
    <w:rsid w:val="001D58D6"/>
    <w:rsid w:val="001D70B4"/>
    <w:rsid w:val="001D77ED"/>
    <w:rsid w:val="001E1180"/>
    <w:rsid w:val="001E13F0"/>
    <w:rsid w:val="001E23EA"/>
    <w:rsid w:val="001E6919"/>
    <w:rsid w:val="001E6958"/>
    <w:rsid w:val="001E7979"/>
    <w:rsid w:val="001F110F"/>
    <w:rsid w:val="001F4129"/>
    <w:rsid w:val="001F5010"/>
    <w:rsid w:val="001F5BAB"/>
    <w:rsid w:val="001F69B5"/>
    <w:rsid w:val="001F77E5"/>
    <w:rsid w:val="00200340"/>
    <w:rsid w:val="00201924"/>
    <w:rsid w:val="00202473"/>
    <w:rsid w:val="002053F2"/>
    <w:rsid w:val="002061AB"/>
    <w:rsid w:val="00206796"/>
    <w:rsid w:val="00206D63"/>
    <w:rsid w:val="00206DCC"/>
    <w:rsid w:val="0021185D"/>
    <w:rsid w:val="002141C1"/>
    <w:rsid w:val="00216B13"/>
    <w:rsid w:val="00220AA8"/>
    <w:rsid w:val="002224EC"/>
    <w:rsid w:val="00224C9D"/>
    <w:rsid w:val="00226777"/>
    <w:rsid w:val="00227887"/>
    <w:rsid w:val="00230295"/>
    <w:rsid w:val="002305BA"/>
    <w:rsid w:val="00233E53"/>
    <w:rsid w:val="00235BD1"/>
    <w:rsid w:val="0024264C"/>
    <w:rsid w:val="00242B0E"/>
    <w:rsid w:val="0024332D"/>
    <w:rsid w:val="002435B4"/>
    <w:rsid w:val="00244B2F"/>
    <w:rsid w:val="00244BA7"/>
    <w:rsid w:val="002453EF"/>
    <w:rsid w:val="00245B11"/>
    <w:rsid w:val="002471A6"/>
    <w:rsid w:val="002477D2"/>
    <w:rsid w:val="00247DF0"/>
    <w:rsid w:val="00250F07"/>
    <w:rsid w:val="002519D1"/>
    <w:rsid w:val="00251AC8"/>
    <w:rsid w:val="00253EFB"/>
    <w:rsid w:val="00254813"/>
    <w:rsid w:val="00255D2E"/>
    <w:rsid w:val="002571D5"/>
    <w:rsid w:val="00257621"/>
    <w:rsid w:val="00257FF2"/>
    <w:rsid w:val="0026272C"/>
    <w:rsid w:val="00265822"/>
    <w:rsid w:val="00267342"/>
    <w:rsid w:val="00267AC8"/>
    <w:rsid w:val="0027105F"/>
    <w:rsid w:val="002711FB"/>
    <w:rsid w:val="002745AB"/>
    <w:rsid w:val="00274AC9"/>
    <w:rsid w:val="00274F91"/>
    <w:rsid w:val="00275D11"/>
    <w:rsid w:val="00283318"/>
    <w:rsid w:val="00283ACD"/>
    <w:rsid w:val="00285525"/>
    <w:rsid w:val="00285C2A"/>
    <w:rsid w:val="00286240"/>
    <w:rsid w:val="00286500"/>
    <w:rsid w:val="00290476"/>
    <w:rsid w:val="00294CD8"/>
    <w:rsid w:val="00295C85"/>
    <w:rsid w:val="002960B8"/>
    <w:rsid w:val="002964DA"/>
    <w:rsid w:val="00296AED"/>
    <w:rsid w:val="002A1470"/>
    <w:rsid w:val="002A1A7E"/>
    <w:rsid w:val="002A270B"/>
    <w:rsid w:val="002A40AE"/>
    <w:rsid w:val="002A4232"/>
    <w:rsid w:val="002A4E83"/>
    <w:rsid w:val="002A50FD"/>
    <w:rsid w:val="002A6753"/>
    <w:rsid w:val="002B26F9"/>
    <w:rsid w:val="002B28D7"/>
    <w:rsid w:val="002B3D78"/>
    <w:rsid w:val="002B5524"/>
    <w:rsid w:val="002B7EB6"/>
    <w:rsid w:val="002C039E"/>
    <w:rsid w:val="002C06B4"/>
    <w:rsid w:val="002C0B61"/>
    <w:rsid w:val="002C0FAD"/>
    <w:rsid w:val="002C1264"/>
    <w:rsid w:val="002C15E6"/>
    <w:rsid w:val="002C22E3"/>
    <w:rsid w:val="002C247D"/>
    <w:rsid w:val="002C3345"/>
    <w:rsid w:val="002C56C8"/>
    <w:rsid w:val="002D255E"/>
    <w:rsid w:val="002D3C3F"/>
    <w:rsid w:val="002D409A"/>
    <w:rsid w:val="002D47C2"/>
    <w:rsid w:val="002D48E7"/>
    <w:rsid w:val="002D7371"/>
    <w:rsid w:val="002E69B1"/>
    <w:rsid w:val="002F06B6"/>
    <w:rsid w:val="002F30E7"/>
    <w:rsid w:val="002F55EF"/>
    <w:rsid w:val="00300921"/>
    <w:rsid w:val="00300C70"/>
    <w:rsid w:val="00300EEB"/>
    <w:rsid w:val="003013A9"/>
    <w:rsid w:val="003020B5"/>
    <w:rsid w:val="00302187"/>
    <w:rsid w:val="003027BB"/>
    <w:rsid w:val="00304494"/>
    <w:rsid w:val="00305DBC"/>
    <w:rsid w:val="00310A10"/>
    <w:rsid w:val="003130E1"/>
    <w:rsid w:val="00313944"/>
    <w:rsid w:val="003156A3"/>
    <w:rsid w:val="003161FB"/>
    <w:rsid w:val="00321A44"/>
    <w:rsid w:val="00327D25"/>
    <w:rsid w:val="003312D9"/>
    <w:rsid w:val="003319A7"/>
    <w:rsid w:val="00333E0E"/>
    <w:rsid w:val="00334FE3"/>
    <w:rsid w:val="00335833"/>
    <w:rsid w:val="00337A23"/>
    <w:rsid w:val="003411EA"/>
    <w:rsid w:val="003421AE"/>
    <w:rsid w:val="003433D1"/>
    <w:rsid w:val="00344A0E"/>
    <w:rsid w:val="00344B24"/>
    <w:rsid w:val="003456B9"/>
    <w:rsid w:val="0035067D"/>
    <w:rsid w:val="00351026"/>
    <w:rsid w:val="00352047"/>
    <w:rsid w:val="00353A16"/>
    <w:rsid w:val="00353A53"/>
    <w:rsid w:val="00356405"/>
    <w:rsid w:val="0035776D"/>
    <w:rsid w:val="00360E7B"/>
    <w:rsid w:val="003624E9"/>
    <w:rsid w:val="00362ED3"/>
    <w:rsid w:val="003633B1"/>
    <w:rsid w:val="00364FD9"/>
    <w:rsid w:val="00367C1B"/>
    <w:rsid w:val="00371556"/>
    <w:rsid w:val="00371E9F"/>
    <w:rsid w:val="003723E8"/>
    <w:rsid w:val="00373E40"/>
    <w:rsid w:val="00375070"/>
    <w:rsid w:val="00376B61"/>
    <w:rsid w:val="00380F00"/>
    <w:rsid w:val="00382407"/>
    <w:rsid w:val="003836DC"/>
    <w:rsid w:val="00383AC4"/>
    <w:rsid w:val="00386A64"/>
    <w:rsid w:val="00386FA1"/>
    <w:rsid w:val="00390142"/>
    <w:rsid w:val="00390518"/>
    <w:rsid w:val="00392F00"/>
    <w:rsid w:val="00393974"/>
    <w:rsid w:val="0039480F"/>
    <w:rsid w:val="00397377"/>
    <w:rsid w:val="003A0EE8"/>
    <w:rsid w:val="003A22DE"/>
    <w:rsid w:val="003A2860"/>
    <w:rsid w:val="003A2A92"/>
    <w:rsid w:val="003A2D1D"/>
    <w:rsid w:val="003A2FCC"/>
    <w:rsid w:val="003A37AB"/>
    <w:rsid w:val="003A3944"/>
    <w:rsid w:val="003A3C35"/>
    <w:rsid w:val="003A411C"/>
    <w:rsid w:val="003A54F3"/>
    <w:rsid w:val="003A7D30"/>
    <w:rsid w:val="003B3C5C"/>
    <w:rsid w:val="003B611A"/>
    <w:rsid w:val="003B70DF"/>
    <w:rsid w:val="003C47B6"/>
    <w:rsid w:val="003C47CA"/>
    <w:rsid w:val="003C57E3"/>
    <w:rsid w:val="003C7410"/>
    <w:rsid w:val="003D115D"/>
    <w:rsid w:val="003D6DE1"/>
    <w:rsid w:val="003D795C"/>
    <w:rsid w:val="003E30FB"/>
    <w:rsid w:val="003E35AA"/>
    <w:rsid w:val="003E3CCB"/>
    <w:rsid w:val="003F26B2"/>
    <w:rsid w:val="003F2711"/>
    <w:rsid w:val="003F390C"/>
    <w:rsid w:val="003F4A4F"/>
    <w:rsid w:val="003F50DF"/>
    <w:rsid w:val="003F6C70"/>
    <w:rsid w:val="003F7CB9"/>
    <w:rsid w:val="0040218F"/>
    <w:rsid w:val="00403333"/>
    <w:rsid w:val="0040349B"/>
    <w:rsid w:val="00404D00"/>
    <w:rsid w:val="00407FE0"/>
    <w:rsid w:val="00411735"/>
    <w:rsid w:val="004117A3"/>
    <w:rsid w:val="00412F6D"/>
    <w:rsid w:val="00414D4F"/>
    <w:rsid w:val="004161D4"/>
    <w:rsid w:val="00416DC1"/>
    <w:rsid w:val="00417740"/>
    <w:rsid w:val="00417C63"/>
    <w:rsid w:val="0042165D"/>
    <w:rsid w:val="00424449"/>
    <w:rsid w:val="00425709"/>
    <w:rsid w:val="004257F2"/>
    <w:rsid w:val="004261DD"/>
    <w:rsid w:val="004263CD"/>
    <w:rsid w:val="004276FD"/>
    <w:rsid w:val="00430185"/>
    <w:rsid w:val="00430A75"/>
    <w:rsid w:val="004319B9"/>
    <w:rsid w:val="0043438A"/>
    <w:rsid w:val="0043654D"/>
    <w:rsid w:val="004372F4"/>
    <w:rsid w:val="00440CAC"/>
    <w:rsid w:val="00442F0A"/>
    <w:rsid w:val="00443765"/>
    <w:rsid w:val="00451840"/>
    <w:rsid w:val="00452027"/>
    <w:rsid w:val="00454373"/>
    <w:rsid w:val="004546F7"/>
    <w:rsid w:val="004549F1"/>
    <w:rsid w:val="00457A14"/>
    <w:rsid w:val="00457DE6"/>
    <w:rsid w:val="00460C9A"/>
    <w:rsid w:val="004628AA"/>
    <w:rsid w:val="00464924"/>
    <w:rsid w:val="00464DD8"/>
    <w:rsid w:val="004700ED"/>
    <w:rsid w:val="0047192D"/>
    <w:rsid w:val="00473E69"/>
    <w:rsid w:val="00474B57"/>
    <w:rsid w:val="00475108"/>
    <w:rsid w:val="004753AB"/>
    <w:rsid w:val="0047581D"/>
    <w:rsid w:val="0047735B"/>
    <w:rsid w:val="00480289"/>
    <w:rsid w:val="00481279"/>
    <w:rsid w:val="00481947"/>
    <w:rsid w:val="004827F8"/>
    <w:rsid w:val="00483368"/>
    <w:rsid w:val="00486D63"/>
    <w:rsid w:val="004873CB"/>
    <w:rsid w:val="0048763E"/>
    <w:rsid w:val="00490A5B"/>
    <w:rsid w:val="00494011"/>
    <w:rsid w:val="00496A6E"/>
    <w:rsid w:val="004A0BF4"/>
    <w:rsid w:val="004A2610"/>
    <w:rsid w:val="004A263B"/>
    <w:rsid w:val="004A68EF"/>
    <w:rsid w:val="004B1DF8"/>
    <w:rsid w:val="004B2E55"/>
    <w:rsid w:val="004B37C6"/>
    <w:rsid w:val="004B3BCD"/>
    <w:rsid w:val="004B5912"/>
    <w:rsid w:val="004B68AE"/>
    <w:rsid w:val="004B6E64"/>
    <w:rsid w:val="004B7636"/>
    <w:rsid w:val="004C14CE"/>
    <w:rsid w:val="004C14F4"/>
    <w:rsid w:val="004C16A6"/>
    <w:rsid w:val="004C35B0"/>
    <w:rsid w:val="004C49EF"/>
    <w:rsid w:val="004C4A19"/>
    <w:rsid w:val="004C5570"/>
    <w:rsid w:val="004C6234"/>
    <w:rsid w:val="004D00C9"/>
    <w:rsid w:val="004D038F"/>
    <w:rsid w:val="004D045F"/>
    <w:rsid w:val="004D17F8"/>
    <w:rsid w:val="004D1CBD"/>
    <w:rsid w:val="004D2CF7"/>
    <w:rsid w:val="004D2D46"/>
    <w:rsid w:val="004D3030"/>
    <w:rsid w:val="004D316A"/>
    <w:rsid w:val="004E0FBF"/>
    <w:rsid w:val="004E16F5"/>
    <w:rsid w:val="004E2C29"/>
    <w:rsid w:val="004E3252"/>
    <w:rsid w:val="004E32BB"/>
    <w:rsid w:val="004E3CC7"/>
    <w:rsid w:val="004E479D"/>
    <w:rsid w:val="004E5AD0"/>
    <w:rsid w:val="004E5B69"/>
    <w:rsid w:val="004F2A87"/>
    <w:rsid w:val="004F591B"/>
    <w:rsid w:val="004F6DF3"/>
    <w:rsid w:val="00503881"/>
    <w:rsid w:val="0050517E"/>
    <w:rsid w:val="00507C56"/>
    <w:rsid w:val="0051251C"/>
    <w:rsid w:val="005147A1"/>
    <w:rsid w:val="005153DF"/>
    <w:rsid w:val="00515A97"/>
    <w:rsid w:val="00517BA4"/>
    <w:rsid w:val="00521EB8"/>
    <w:rsid w:val="0052344E"/>
    <w:rsid w:val="0052494C"/>
    <w:rsid w:val="00525586"/>
    <w:rsid w:val="00526478"/>
    <w:rsid w:val="00530204"/>
    <w:rsid w:val="00530D92"/>
    <w:rsid w:val="00534C5F"/>
    <w:rsid w:val="00535285"/>
    <w:rsid w:val="00535804"/>
    <w:rsid w:val="00540257"/>
    <w:rsid w:val="00540407"/>
    <w:rsid w:val="0054184C"/>
    <w:rsid w:val="0054192F"/>
    <w:rsid w:val="00542506"/>
    <w:rsid w:val="00542FE8"/>
    <w:rsid w:val="00544EB3"/>
    <w:rsid w:val="0054594B"/>
    <w:rsid w:val="00547109"/>
    <w:rsid w:val="00547276"/>
    <w:rsid w:val="0054749B"/>
    <w:rsid w:val="0055098D"/>
    <w:rsid w:val="00551CC6"/>
    <w:rsid w:val="00551DEE"/>
    <w:rsid w:val="00554AB0"/>
    <w:rsid w:val="00556F99"/>
    <w:rsid w:val="0056010E"/>
    <w:rsid w:val="00560541"/>
    <w:rsid w:val="00561CBB"/>
    <w:rsid w:val="00565CF1"/>
    <w:rsid w:val="005672D0"/>
    <w:rsid w:val="0057202F"/>
    <w:rsid w:val="00572449"/>
    <w:rsid w:val="00572CEB"/>
    <w:rsid w:val="005750C7"/>
    <w:rsid w:val="005763C8"/>
    <w:rsid w:val="0058026C"/>
    <w:rsid w:val="00581E78"/>
    <w:rsid w:val="005834C9"/>
    <w:rsid w:val="005868C7"/>
    <w:rsid w:val="005869C8"/>
    <w:rsid w:val="00587F77"/>
    <w:rsid w:val="00590AD1"/>
    <w:rsid w:val="0059150B"/>
    <w:rsid w:val="005921FA"/>
    <w:rsid w:val="00593B4B"/>
    <w:rsid w:val="00593B9D"/>
    <w:rsid w:val="00597537"/>
    <w:rsid w:val="005A1035"/>
    <w:rsid w:val="005A1500"/>
    <w:rsid w:val="005A16DD"/>
    <w:rsid w:val="005A3144"/>
    <w:rsid w:val="005A58BA"/>
    <w:rsid w:val="005A5D30"/>
    <w:rsid w:val="005A6AB9"/>
    <w:rsid w:val="005A6D54"/>
    <w:rsid w:val="005A7916"/>
    <w:rsid w:val="005B0B97"/>
    <w:rsid w:val="005B287A"/>
    <w:rsid w:val="005B2B25"/>
    <w:rsid w:val="005B2B4E"/>
    <w:rsid w:val="005B3EC4"/>
    <w:rsid w:val="005B524F"/>
    <w:rsid w:val="005B57E8"/>
    <w:rsid w:val="005C0A04"/>
    <w:rsid w:val="005C333E"/>
    <w:rsid w:val="005C3AE7"/>
    <w:rsid w:val="005C3F95"/>
    <w:rsid w:val="005C4D2B"/>
    <w:rsid w:val="005C683E"/>
    <w:rsid w:val="005C760C"/>
    <w:rsid w:val="005D0677"/>
    <w:rsid w:val="005D122A"/>
    <w:rsid w:val="005D1F25"/>
    <w:rsid w:val="005D2049"/>
    <w:rsid w:val="005D4744"/>
    <w:rsid w:val="005E294C"/>
    <w:rsid w:val="005E2CE3"/>
    <w:rsid w:val="005E373F"/>
    <w:rsid w:val="005E4F06"/>
    <w:rsid w:val="005E6D4F"/>
    <w:rsid w:val="005F3F07"/>
    <w:rsid w:val="005F45D0"/>
    <w:rsid w:val="005F6508"/>
    <w:rsid w:val="005F69F8"/>
    <w:rsid w:val="005F764C"/>
    <w:rsid w:val="00600838"/>
    <w:rsid w:val="00601BDE"/>
    <w:rsid w:val="0060263E"/>
    <w:rsid w:val="00603D04"/>
    <w:rsid w:val="00604186"/>
    <w:rsid w:val="006044DF"/>
    <w:rsid w:val="00604CFE"/>
    <w:rsid w:val="00606857"/>
    <w:rsid w:val="00610946"/>
    <w:rsid w:val="00613400"/>
    <w:rsid w:val="006140CB"/>
    <w:rsid w:val="006145A9"/>
    <w:rsid w:val="00614A4B"/>
    <w:rsid w:val="00615F42"/>
    <w:rsid w:val="00616069"/>
    <w:rsid w:val="00616633"/>
    <w:rsid w:val="00616690"/>
    <w:rsid w:val="00616C4C"/>
    <w:rsid w:val="00617A3D"/>
    <w:rsid w:val="00620E0C"/>
    <w:rsid w:val="00624B9B"/>
    <w:rsid w:val="006254D4"/>
    <w:rsid w:val="006258C2"/>
    <w:rsid w:val="00626365"/>
    <w:rsid w:val="006266B6"/>
    <w:rsid w:val="00627A2F"/>
    <w:rsid w:val="00627B54"/>
    <w:rsid w:val="00630E22"/>
    <w:rsid w:val="00632AD3"/>
    <w:rsid w:val="00633A28"/>
    <w:rsid w:val="006344E8"/>
    <w:rsid w:val="0064168C"/>
    <w:rsid w:val="00641972"/>
    <w:rsid w:val="00641FBC"/>
    <w:rsid w:val="00643E47"/>
    <w:rsid w:val="00645D30"/>
    <w:rsid w:val="00645E66"/>
    <w:rsid w:val="00651324"/>
    <w:rsid w:val="00651F82"/>
    <w:rsid w:val="00652573"/>
    <w:rsid w:val="00654C85"/>
    <w:rsid w:val="00656B4C"/>
    <w:rsid w:val="00657B46"/>
    <w:rsid w:val="00662FCA"/>
    <w:rsid w:val="00664AED"/>
    <w:rsid w:val="006751A9"/>
    <w:rsid w:val="006751B7"/>
    <w:rsid w:val="006764EC"/>
    <w:rsid w:val="006808EF"/>
    <w:rsid w:val="00682A89"/>
    <w:rsid w:val="006835FE"/>
    <w:rsid w:val="00693BFD"/>
    <w:rsid w:val="00693C3D"/>
    <w:rsid w:val="00695065"/>
    <w:rsid w:val="00695FB9"/>
    <w:rsid w:val="00696227"/>
    <w:rsid w:val="00696F7D"/>
    <w:rsid w:val="00697B0A"/>
    <w:rsid w:val="006A1038"/>
    <w:rsid w:val="006A1175"/>
    <w:rsid w:val="006A1535"/>
    <w:rsid w:val="006A361E"/>
    <w:rsid w:val="006A3812"/>
    <w:rsid w:val="006A4DCE"/>
    <w:rsid w:val="006A649A"/>
    <w:rsid w:val="006A6A21"/>
    <w:rsid w:val="006B1901"/>
    <w:rsid w:val="006B1B49"/>
    <w:rsid w:val="006B3945"/>
    <w:rsid w:val="006B5D56"/>
    <w:rsid w:val="006B5EC2"/>
    <w:rsid w:val="006B5F76"/>
    <w:rsid w:val="006B6390"/>
    <w:rsid w:val="006B7F32"/>
    <w:rsid w:val="006C0356"/>
    <w:rsid w:val="006C0843"/>
    <w:rsid w:val="006C5734"/>
    <w:rsid w:val="006C57CE"/>
    <w:rsid w:val="006C74B1"/>
    <w:rsid w:val="006D2168"/>
    <w:rsid w:val="006D3D41"/>
    <w:rsid w:val="006E05F7"/>
    <w:rsid w:val="006E23A0"/>
    <w:rsid w:val="006E57AA"/>
    <w:rsid w:val="006E77F0"/>
    <w:rsid w:val="006F20CF"/>
    <w:rsid w:val="006F2D99"/>
    <w:rsid w:val="006F38ED"/>
    <w:rsid w:val="00700A21"/>
    <w:rsid w:val="00701326"/>
    <w:rsid w:val="007035D3"/>
    <w:rsid w:val="007044FD"/>
    <w:rsid w:val="0070464E"/>
    <w:rsid w:val="007054DB"/>
    <w:rsid w:val="00707D4D"/>
    <w:rsid w:val="00710E24"/>
    <w:rsid w:val="00714FC4"/>
    <w:rsid w:val="00717C01"/>
    <w:rsid w:val="0072082F"/>
    <w:rsid w:val="00722063"/>
    <w:rsid w:val="0072312B"/>
    <w:rsid w:val="00723503"/>
    <w:rsid w:val="00723E10"/>
    <w:rsid w:val="00724262"/>
    <w:rsid w:val="007247CA"/>
    <w:rsid w:val="00724EE7"/>
    <w:rsid w:val="00727966"/>
    <w:rsid w:val="00730C04"/>
    <w:rsid w:val="00730DFF"/>
    <w:rsid w:val="00733D11"/>
    <w:rsid w:val="00733EC2"/>
    <w:rsid w:val="00734E13"/>
    <w:rsid w:val="00735777"/>
    <w:rsid w:val="0073597B"/>
    <w:rsid w:val="0073635F"/>
    <w:rsid w:val="007378F6"/>
    <w:rsid w:val="0074085D"/>
    <w:rsid w:val="00741789"/>
    <w:rsid w:val="0074545D"/>
    <w:rsid w:val="007513E7"/>
    <w:rsid w:val="007522E3"/>
    <w:rsid w:val="007531EA"/>
    <w:rsid w:val="0075335B"/>
    <w:rsid w:val="00753C44"/>
    <w:rsid w:val="00754383"/>
    <w:rsid w:val="007564D1"/>
    <w:rsid w:val="00757232"/>
    <w:rsid w:val="0075736D"/>
    <w:rsid w:val="00757448"/>
    <w:rsid w:val="00757A49"/>
    <w:rsid w:val="00760679"/>
    <w:rsid w:val="00760CE6"/>
    <w:rsid w:val="00761F1C"/>
    <w:rsid w:val="00763628"/>
    <w:rsid w:val="0076550B"/>
    <w:rsid w:val="00765997"/>
    <w:rsid w:val="00766482"/>
    <w:rsid w:val="00767E99"/>
    <w:rsid w:val="00772E62"/>
    <w:rsid w:val="00774570"/>
    <w:rsid w:val="00775974"/>
    <w:rsid w:val="00776CE0"/>
    <w:rsid w:val="00777703"/>
    <w:rsid w:val="0077789B"/>
    <w:rsid w:val="007778E3"/>
    <w:rsid w:val="00780D29"/>
    <w:rsid w:val="0078172F"/>
    <w:rsid w:val="00782207"/>
    <w:rsid w:val="0078518C"/>
    <w:rsid w:val="0078707F"/>
    <w:rsid w:val="00790589"/>
    <w:rsid w:val="00790689"/>
    <w:rsid w:val="00790896"/>
    <w:rsid w:val="007909F8"/>
    <w:rsid w:val="0079153E"/>
    <w:rsid w:val="00791C8D"/>
    <w:rsid w:val="007928A8"/>
    <w:rsid w:val="00792903"/>
    <w:rsid w:val="00794181"/>
    <w:rsid w:val="007952BC"/>
    <w:rsid w:val="007959AF"/>
    <w:rsid w:val="007969E8"/>
    <w:rsid w:val="007A2302"/>
    <w:rsid w:val="007A2F89"/>
    <w:rsid w:val="007A57DA"/>
    <w:rsid w:val="007A7F6F"/>
    <w:rsid w:val="007B2B9F"/>
    <w:rsid w:val="007B4C76"/>
    <w:rsid w:val="007B4ED6"/>
    <w:rsid w:val="007B5566"/>
    <w:rsid w:val="007B60F7"/>
    <w:rsid w:val="007B7DB2"/>
    <w:rsid w:val="007C0102"/>
    <w:rsid w:val="007C2260"/>
    <w:rsid w:val="007C4730"/>
    <w:rsid w:val="007C5382"/>
    <w:rsid w:val="007C5AC2"/>
    <w:rsid w:val="007D08F6"/>
    <w:rsid w:val="007D1E52"/>
    <w:rsid w:val="007D2358"/>
    <w:rsid w:val="007D30D4"/>
    <w:rsid w:val="007D38D0"/>
    <w:rsid w:val="007D3F06"/>
    <w:rsid w:val="007E156F"/>
    <w:rsid w:val="007E29D7"/>
    <w:rsid w:val="007E3316"/>
    <w:rsid w:val="007E37E8"/>
    <w:rsid w:val="007E39E4"/>
    <w:rsid w:val="007E4092"/>
    <w:rsid w:val="007E6FB3"/>
    <w:rsid w:val="007F0266"/>
    <w:rsid w:val="007F040A"/>
    <w:rsid w:val="007F0883"/>
    <w:rsid w:val="007F1D0D"/>
    <w:rsid w:val="007F1EB9"/>
    <w:rsid w:val="007F21B4"/>
    <w:rsid w:val="007F2B5F"/>
    <w:rsid w:val="007F2E3E"/>
    <w:rsid w:val="007F3402"/>
    <w:rsid w:val="007F6459"/>
    <w:rsid w:val="00800131"/>
    <w:rsid w:val="00800FAA"/>
    <w:rsid w:val="00801ED9"/>
    <w:rsid w:val="00802553"/>
    <w:rsid w:val="0080363F"/>
    <w:rsid w:val="00803D62"/>
    <w:rsid w:val="00803EAB"/>
    <w:rsid w:val="00804098"/>
    <w:rsid w:val="008046B5"/>
    <w:rsid w:val="00806344"/>
    <w:rsid w:val="008078F4"/>
    <w:rsid w:val="00810CAD"/>
    <w:rsid w:val="008127C0"/>
    <w:rsid w:val="00812EDD"/>
    <w:rsid w:val="008139C5"/>
    <w:rsid w:val="0081511E"/>
    <w:rsid w:val="00815494"/>
    <w:rsid w:val="0081650F"/>
    <w:rsid w:val="00816FC1"/>
    <w:rsid w:val="008200E6"/>
    <w:rsid w:val="00820DEB"/>
    <w:rsid w:val="008210D6"/>
    <w:rsid w:val="00824118"/>
    <w:rsid w:val="00830902"/>
    <w:rsid w:val="008311DD"/>
    <w:rsid w:val="00831E2E"/>
    <w:rsid w:val="008324BF"/>
    <w:rsid w:val="00832B31"/>
    <w:rsid w:val="00834CF1"/>
    <w:rsid w:val="008355B3"/>
    <w:rsid w:val="008403E0"/>
    <w:rsid w:val="00842C9F"/>
    <w:rsid w:val="0084657B"/>
    <w:rsid w:val="00847F22"/>
    <w:rsid w:val="00853BAD"/>
    <w:rsid w:val="008541E0"/>
    <w:rsid w:val="00855378"/>
    <w:rsid w:val="00855944"/>
    <w:rsid w:val="00863CD7"/>
    <w:rsid w:val="00864A18"/>
    <w:rsid w:val="00865B9B"/>
    <w:rsid w:val="00866514"/>
    <w:rsid w:val="00870833"/>
    <w:rsid w:val="008709AE"/>
    <w:rsid w:val="00874571"/>
    <w:rsid w:val="00875F7D"/>
    <w:rsid w:val="00876593"/>
    <w:rsid w:val="00881B64"/>
    <w:rsid w:val="00881F93"/>
    <w:rsid w:val="00882CB5"/>
    <w:rsid w:val="00883641"/>
    <w:rsid w:val="00884E69"/>
    <w:rsid w:val="00885AFE"/>
    <w:rsid w:val="008864F5"/>
    <w:rsid w:val="00887FC8"/>
    <w:rsid w:val="0089003D"/>
    <w:rsid w:val="00890082"/>
    <w:rsid w:val="008909E5"/>
    <w:rsid w:val="00891269"/>
    <w:rsid w:val="008A1E9D"/>
    <w:rsid w:val="008A2C2C"/>
    <w:rsid w:val="008A48D2"/>
    <w:rsid w:val="008A4B04"/>
    <w:rsid w:val="008A647B"/>
    <w:rsid w:val="008B1814"/>
    <w:rsid w:val="008B2610"/>
    <w:rsid w:val="008B26F3"/>
    <w:rsid w:val="008B2B46"/>
    <w:rsid w:val="008B471D"/>
    <w:rsid w:val="008B49E4"/>
    <w:rsid w:val="008B4C64"/>
    <w:rsid w:val="008B66D6"/>
    <w:rsid w:val="008B729C"/>
    <w:rsid w:val="008C2AC6"/>
    <w:rsid w:val="008C452A"/>
    <w:rsid w:val="008C4A93"/>
    <w:rsid w:val="008D093B"/>
    <w:rsid w:val="008D4952"/>
    <w:rsid w:val="008D4E22"/>
    <w:rsid w:val="008D5178"/>
    <w:rsid w:val="008D6410"/>
    <w:rsid w:val="008D7898"/>
    <w:rsid w:val="008E0E49"/>
    <w:rsid w:val="008E0FE7"/>
    <w:rsid w:val="008E2BB4"/>
    <w:rsid w:val="008E35FD"/>
    <w:rsid w:val="008E6227"/>
    <w:rsid w:val="008E6A83"/>
    <w:rsid w:val="008E7C8E"/>
    <w:rsid w:val="008F0973"/>
    <w:rsid w:val="008F0FB9"/>
    <w:rsid w:val="008F3E47"/>
    <w:rsid w:val="008F5652"/>
    <w:rsid w:val="008F6261"/>
    <w:rsid w:val="00901627"/>
    <w:rsid w:val="00902D00"/>
    <w:rsid w:val="009032C6"/>
    <w:rsid w:val="0090543D"/>
    <w:rsid w:val="009056C5"/>
    <w:rsid w:val="009064C8"/>
    <w:rsid w:val="009149F6"/>
    <w:rsid w:val="00917806"/>
    <w:rsid w:val="00917CA8"/>
    <w:rsid w:val="00922A7D"/>
    <w:rsid w:val="00922B14"/>
    <w:rsid w:val="009262F2"/>
    <w:rsid w:val="00926A35"/>
    <w:rsid w:val="009270AF"/>
    <w:rsid w:val="00930F32"/>
    <w:rsid w:val="00931D43"/>
    <w:rsid w:val="00932E2F"/>
    <w:rsid w:val="0093353B"/>
    <w:rsid w:val="009340E6"/>
    <w:rsid w:val="009355BE"/>
    <w:rsid w:val="0093610A"/>
    <w:rsid w:val="00937791"/>
    <w:rsid w:val="009378A6"/>
    <w:rsid w:val="00944530"/>
    <w:rsid w:val="009470C5"/>
    <w:rsid w:val="0095086B"/>
    <w:rsid w:val="00951933"/>
    <w:rsid w:val="00952BF8"/>
    <w:rsid w:val="00954343"/>
    <w:rsid w:val="00954E18"/>
    <w:rsid w:val="00955271"/>
    <w:rsid w:val="00955BD6"/>
    <w:rsid w:val="00955C4D"/>
    <w:rsid w:val="009571AA"/>
    <w:rsid w:val="00957FCA"/>
    <w:rsid w:val="009615A9"/>
    <w:rsid w:val="00962C76"/>
    <w:rsid w:val="00962F52"/>
    <w:rsid w:val="00963C9C"/>
    <w:rsid w:val="0096525B"/>
    <w:rsid w:val="00965B6B"/>
    <w:rsid w:val="00967A08"/>
    <w:rsid w:val="009706AC"/>
    <w:rsid w:val="00970708"/>
    <w:rsid w:val="00970F9B"/>
    <w:rsid w:val="00971EDB"/>
    <w:rsid w:val="0097392F"/>
    <w:rsid w:val="00974D50"/>
    <w:rsid w:val="00980591"/>
    <w:rsid w:val="00982AF2"/>
    <w:rsid w:val="009855D5"/>
    <w:rsid w:val="009857F8"/>
    <w:rsid w:val="00987ABE"/>
    <w:rsid w:val="00991891"/>
    <w:rsid w:val="00991EE4"/>
    <w:rsid w:val="009924A3"/>
    <w:rsid w:val="00992B51"/>
    <w:rsid w:val="00993295"/>
    <w:rsid w:val="009939DC"/>
    <w:rsid w:val="00993B9C"/>
    <w:rsid w:val="009B0A03"/>
    <w:rsid w:val="009B1747"/>
    <w:rsid w:val="009B1E08"/>
    <w:rsid w:val="009B367F"/>
    <w:rsid w:val="009B4E1E"/>
    <w:rsid w:val="009B568A"/>
    <w:rsid w:val="009B62BD"/>
    <w:rsid w:val="009C03FB"/>
    <w:rsid w:val="009C1BB6"/>
    <w:rsid w:val="009C1EA1"/>
    <w:rsid w:val="009C2B28"/>
    <w:rsid w:val="009C379D"/>
    <w:rsid w:val="009C3E57"/>
    <w:rsid w:val="009C4B4F"/>
    <w:rsid w:val="009C66FB"/>
    <w:rsid w:val="009C7A0D"/>
    <w:rsid w:val="009D0251"/>
    <w:rsid w:val="009D061C"/>
    <w:rsid w:val="009D0C32"/>
    <w:rsid w:val="009D185A"/>
    <w:rsid w:val="009D581E"/>
    <w:rsid w:val="009E2BFB"/>
    <w:rsid w:val="009E5963"/>
    <w:rsid w:val="009F0C02"/>
    <w:rsid w:val="009F170F"/>
    <w:rsid w:val="009F22BE"/>
    <w:rsid w:val="009F31ED"/>
    <w:rsid w:val="009F3751"/>
    <w:rsid w:val="009F3D7E"/>
    <w:rsid w:val="009F5758"/>
    <w:rsid w:val="009F6337"/>
    <w:rsid w:val="009F753E"/>
    <w:rsid w:val="00A00327"/>
    <w:rsid w:val="00A0283F"/>
    <w:rsid w:val="00A028F0"/>
    <w:rsid w:val="00A02C23"/>
    <w:rsid w:val="00A03122"/>
    <w:rsid w:val="00A03687"/>
    <w:rsid w:val="00A04F4A"/>
    <w:rsid w:val="00A05DA1"/>
    <w:rsid w:val="00A144DD"/>
    <w:rsid w:val="00A15577"/>
    <w:rsid w:val="00A16A97"/>
    <w:rsid w:val="00A16BB6"/>
    <w:rsid w:val="00A22FBE"/>
    <w:rsid w:val="00A24D0F"/>
    <w:rsid w:val="00A2533E"/>
    <w:rsid w:val="00A25888"/>
    <w:rsid w:val="00A26343"/>
    <w:rsid w:val="00A26C62"/>
    <w:rsid w:val="00A2750F"/>
    <w:rsid w:val="00A27EA9"/>
    <w:rsid w:val="00A32D33"/>
    <w:rsid w:val="00A33EBE"/>
    <w:rsid w:val="00A36F23"/>
    <w:rsid w:val="00A37644"/>
    <w:rsid w:val="00A408B5"/>
    <w:rsid w:val="00A40E09"/>
    <w:rsid w:val="00A415C3"/>
    <w:rsid w:val="00A43F9F"/>
    <w:rsid w:val="00A50AEF"/>
    <w:rsid w:val="00A529E2"/>
    <w:rsid w:val="00A52A26"/>
    <w:rsid w:val="00A539F8"/>
    <w:rsid w:val="00A57B40"/>
    <w:rsid w:val="00A6087F"/>
    <w:rsid w:val="00A62530"/>
    <w:rsid w:val="00A6491A"/>
    <w:rsid w:val="00A65225"/>
    <w:rsid w:val="00A6594E"/>
    <w:rsid w:val="00A65A83"/>
    <w:rsid w:val="00A65F23"/>
    <w:rsid w:val="00A6636D"/>
    <w:rsid w:val="00A66D4A"/>
    <w:rsid w:val="00A66F8A"/>
    <w:rsid w:val="00A711B0"/>
    <w:rsid w:val="00A727B6"/>
    <w:rsid w:val="00A73664"/>
    <w:rsid w:val="00A73E44"/>
    <w:rsid w:val="00A74F37"/>
    <w:rsid w:val="00A750B2"/>
    <w:rsid w:val="00A7532C"/>
    <w:rsid w:val="00A81CC6"/>
    <w:rsid w:val="00A83EC6"/>
    <w:rsid w:val="00A86B1C"/>
    <w:rsid w:val="00A8732C"/>
    <w:rsid w:val="00A9059E"/>
    <w:rsid w:val="00A9062D"/>
    <w:rsid w:val="00A90C40"/>
    <w:rsid w:val="00A93255"/>
    <w:rsid w:val="00A93F58"/>
    <w:rsid w:val="00A95844"/>
    <w:rsid w:val="00A96329"/>
    <w:rsid w:val="00A966AD"/>
    <w:rsid w:val="00AA02DF"/>
    <w:rsid w:val="00AA134B"/>
    <w:rsid w:val="00AA14FA"/>
    <w:rsid w:val="00AA1565"/>
    <w:rsid w:val="00AA18E8"/>
    <w:rsid w:val="00AA2A2C"/>
    <w:rsid w:val="00AA2CFE"/>
    <w:rsid w:val="00AA5D7F"/>
    <w:rsid w:val="00AA5FDA"/>
    <w:rsid w:val="00AA6291"/>
    <w:rsid w:val="00AB0035"/>
    <w:rsid w:val="00AB0E31"/>
    <w:rsid w:val="00AB153D"/>
    <w:rsid w:val="00AB1552"/>
    <w:rsid w:val="00AB1DEF"/>
    <w:rsid w:val="00AB2663"/>
    <w:rsid w:val="00AB3B9B"/>
    <w:rsid w:val="00AB65AC"/>
    <w:rsid w:val="00AC0C91"/>
    <w:rsid w:val="00AC6045"/>
    <w:rsid w:val="00AC7B72"/>
    <w:rsid w:val="00AC7E6A"/>
    <w:rsid w:val="00AD0408"/>
    <w:rsid w:val="00AD27CE"/>
    <w:rsid w:val="00AD284B"/>
    <w:rsid w:val="00AD37D4"/>
    <w:rsid w:val="00AD3CA1"/>
    <w:rsid w:val="00AD7986"/>
    <w:rsid w:val="00AE1188"/>
    <w:rsid w:val="00AE738C"/>
    <w:rsid w:val="00AF0510"/>
    <w:rsid w:val="00AF0715"/>
    <w:rsid w:val="00AF1046"/>
    <w:rsid w:val="00AF4466"/>
    <w:rsid w:val="00AF4D7C"/>
    <w:rsid w:val="00AF5D1E"/>
    <w:rsid w:val="00AF7A4F"/>
    <w:rsid w:val="00B0080E"/>
    <w:rsid w:val="00B040A9"/>
    <w:rsid w:val="00B12EF5"/>
    <w:rsid w:val="00B13167"/>
    <w:rsid w:val="00B14692"/>
    <w:rsid w:val="00B14D0B"/>
    <w:rsid w:val="00B1711E"/>
    <w:rsid w:val="00B17295"/>
    <w:rsid w:val="00B17CBE"/>
    <w:rsid w:val="00B17DF0"/>
    <w:rsid w:val="00B17E26"/>
    <w:rsid w:val="00B231A4"/>
    <w:rsid w:val="00B23803"/>
    <w:rsid w:val="00B23BF8"/>
    <w:rsid w:val="00B25D20"/>
    <w:rsid w:val="00B26280"/>
    <w:rsid w:val="00B277C2"/>
    <w:rsid w:val="00B3083A"/>
    <w:rsid w:val="00B31C99"/>
    <w:rsid w:val="00B33387"/>
    <w:rsid w:val="00B34911"/>
    <w:rsid w:val="00B35BFB"/>
    <w:rsid w:val="00B36DBE"/>
    <w:rsid w:val="00B37ECD"/>
    <w:rsid w:val="00B416F7"/>
    <w:rsid w:val="00B41943"/>
    <w:rsid w:val="00B421C4"/>
    <w:rsid w:val="00B44173"/>
    <w:rsid w:val="00B44E25"/>
    <w:rsid w:val="00B470B4"/>
    <w:rsid w:val="00B50FEF"/>
    <w:rsid w:val="00B53833"/>
    <w:rsid w:val="00B539A1"/>
    <w:rsid w:val="00B53BA6"/>
    <w:rsid w:val="00B5420E"/>
    <w:rsid w:val="00B56914"/>
    <w:rsid w:val="00B56FE3"/>
    <w:rsid w:val="00B5731D"/>
    <w:rsid w:val="00B57831"/>
    <w:rsid w:val="00B62159"/>
    <w:rsid w:val="00B6378B"/>
    <w:rsid w:val="00B63E3A"/>
    <w:rsid w:val="00B71C91"/>
    <w:rsid w:val="00B7535D"/>
    <w:rsid w:val="00B75965"/>
    <w:rsid w:val="00B771AD"/>
    <w:rsid w:val="00B8056D"/>
    <w:rsid w:val="00B809FB"/>
    <w:rsid w:val="00B80C2B"/>
    <w:rsid w:val="00B814CB"/>
    <w:rsid w:val="00B8373A"/>
    <w:rsid w:val="00B84D20"/>
    <w:rsid w:val="00B85865"/>
    <w:rsid w:val="00B85E6A"/>
    <w:rsid w:val="00B8683D"/>
    <w:rsid w:val="00B92CA0"/>
    <w:rsid w:val="00B944C9"/>
    <w:rsid w:val="00BA0CF8"/>
    <w:rsid w:val="00BA1118"/>
    <w:rsid w:val="00BA1ADF"/>
    <w:rsid w:val="00BA2336"/>
    <w:rsid w:val="00BA38F2"/>
    <w:rsid w:val="00BA51FC"/>
    <w:rsid w:val="00BA62D9"/>
    <w:rsid w:val="00BB003A"/>
    <w:rsid w:val="00BB0587"/>
    <w:rsid w:val="00BB0A60"/>
    <w:rsid w:val="00BB0C00"/>
    <w:rsid w:val="00BB11F9"/>
    <w:rsid w:val="00BB1892"/>
    <w:rsid w:val="00BB3358"/>
    <w:rsid w:val="00BB3382"/>
    <w:rsid w:val="00BB3643"/>
    <w:rsid w:val="00BB67DB"/>
    <w:rsid w:val="00BB6C9E"/>
    <w:rsid w:val="00BC2AF0"/>
    <w:rsid w:val="00BC3052"/>
    <w:rsid w:val="00BC3DA0"/>
    <w:rsid w:val="00BC424B"/>
    <w:rsid w:val="00BC590C"/>
    <w:rsid w:val="00BC7B7D"/>
    <w:rsid w:val="00BD0002"/>
    <w:rsid w:val="00BD0429"/>
    <w:rsid w:val="00BD06E3"/>
    <w:rsid w:val="00BD7870"/>
    <w:rsid w:val="00BE0556"/>
    <w:rsid w:val="00BE065C"/>
    <w:rsid w:val="00BE0FDE"/>
    <w:rsid w:val="00BE1478"/>
    <w:rsid w:val="00BE2560"/>
    <w:rsid w:val="00BE285F"/>
    <w:rsid w:val="00BE4096"/>
    <w:rsid w:val="00BE60E0"/>
    <w:rsid w:val="00BE6D88"/>
    <w:rsid w:val="00BF0A4D"/>
    <w:rsid w:val="00BF1BD1"/>
    <w:rsid w:val="00BF3D30"/>
    <w:rsid w:val="00BF42C4"/>
    <w:rsid w:val="00BF4796"/>
    <w:rsid w:val="00BF4D2C"/>
    <w:rsid w:val="00BF62A8"/>
    <w:rsid w:val="00BF6AC5"/>
    <w:rsid w:val="00C01121"/>
    <w:rsid w:val="00C030A5"/>
    <w:rsid w:val="00C033E0"/>
    <w:rsid w:val="00C050BC"/>
    <w:rsid w:val="00C052D2"/>
    <w:rsid w:val="00C05A45"/>
    <w:rsid w:val="00C06386"/>
    <w:rsid w:val="00C06770"/>
    <w:rsid w:val="00C0796F"/>
    <w:rsid w:val="00C11B34"/>
    <w:rsid w:val="00C129D0"/>
    <w:rsid w:val="00C12A96"/>
    <w:rsid w:val="00C12C5C"/>
    <w:rsid w:val="00C152A6"/>
    <w:rsid w:val="00C163B2"/>
    <w:rsid w:val="00C171FB"/>
    <w:rsid w:val="00C17CB5"/>
    <w:rsid w:val="00C17F04"/>
    <w:rsid w:val="00C209C2"/>
    <w:rsid w:val="00C2267F"/>
    <w:rsid w:val="00C22AD8"/>
    <w:rsid w:val="00C23D3B"/>
    <w:rsid w:val="00C23FC7"/>
    <w:rsid w:val="00C240F6"/>
    <w:rsid w:val="00C25A8A"/>
    <w:rsid w:val="00C26404"/>
    <w:rsid w:val="00C30239"/>
    <w:rsid w:val="00C33898"/>
    <w:rsid w:val="00C3557E"/>
    <w:rsid w:val="00C3594B"/>
    <w:rsid w:val="00C369CF"/>
    <w:rsid w:val="00C37E43"/>
    <w:rsid w:val="00C40ED8"/>
    <w:rsid w:val="00C43102"/>
    <w:rsid w:val="00C45AE5"/>
    <w:rsid w:val="00C4696B"/>
    <w:rsid w:val="00C473F0"/>
    <w:rsid w:val="00C50513"/>
    <w:rsid w:val="00C50716"/>
    <w:rsid w:val="00C5338B"/>
    <w:rsid w:val="00C54503"/>
    <w:rsid w:val="00C5521A"/>
    <w:rsid w:val="00C57DF5"/>
    <w:rsid w:val="00C61567"/>
    <w:rsid w:val="00C61A55"/>
    <w:rsid w:val="00C63055"/>
    <w:rsid w:val="00C63669"/>
    <w:rsid w:val="00C645D1"/>
    <w:rsid w:val="00C65096"/>
    <w:rsid w:val="00C65B70"/>
    <w:rsid w:val="00C67798"/>
    <w:rsid w:val="00C702D3"/>
    <w:rsid w:val="00C72A0C"/>
    <w:rsid w:val="00C73B62"/>
    <w:rsid w:val="00C770BB"/>
    <w:rsid w:val="00C776B1"/>
    <w:rsid w:val="00C815FE"/>
    <w:rsid w:val="00C83357"/>
    <w:rsid w:val="00C846F2"/>
    <w:rsid w:val="00C847AE"/>
    <w:rsid w:val="00C84F55"/>
    <w:rsid w:val="00C84F80"/>
    <w:rsid w:val="00C8548A"/>
    <w:rsid w:val="00C87975"/>
    <w:rsid w:val="00C904CB"/>
    <w:rsid w:val="00C90B43"/>
    <w:rsid w:val="00C93594"/>
    <w:rsid w:val="00C94F16"/>
    <w:rsid w:val="00CA04C6"/>
    <w:rsid w:val="00CA0DB0"/>
    <w:rsid w:val="00CA190B"/>
    <w:rsid w:val="00CA26DD"/>
    <w:rsid w:val="00CA7DF4"/>
    <w:rsid w:val="00CB12EC"/>
    <w:rsid w:val="00CB1A24"/>
    <w:rsid w:val="00CB2666"/>
    <w:rsid w:val="00CB3660"/>
    <w:rsid w:val="00CB37BC"/>
    <w:rsid w:val="00CB3914"/>
    <w:rsid w:val="00CB5C80"/>
    <w:rsid w:val="00CC09D7"/>
    <w:rsid w:val="00CC12B8"/>
    <w:rsid w:val="00CC1EAD"/>
    <w:rsid w:val="00CC2D10"/>
    <w:rsid w:val="00CC7DC5"/>
    <w:rsid w:val="00CD05B6"/>
    <w:rsid w:val="00CD1B8C"/>
    <w:rsid w:val="00CD22E3"/>
    <w:rsid w:val="00CD2D7A"/>
    <w:rsid w:val="00CD3D1C"/>
    <w:rsid w:val="00CD410A"/>
    <w:rsid w:val="00CD46AA"/>
    <w:rsid w:val="00CD4E44"/>
    <w:rsid w:val="00CD531D"/>
    <w:rsid w:val="00CD53E7"/>
    <w:rsid w:val="00CD5AE4"/>
    <w:rsid w:val="00CD731D"/>
    <w:rsid w:val="00CD7A7D"/>
    <w:rsid w:val="00CE11AF"/>
    <w:rsid w:val="00CE6506"/>
    <w:rsid w:val="00CE7E44"/>
    <w:rsid w:val="00CF13A7"/>
    <w:rsid w:val="00CF179D"/>
    <w:rsid w:val="00CF2CF8"/>
    <w:rsid w:val="00CF2D8E"/>
    <w:rsid w:val="00CF2DFA"/>
    <w:rsid w:val="00CF4075"/>
    <w:rsid w:val="00CF5AD8"/>
    <w:rsid w:val="00CF775B"/>
    <w:rsid w:val="00D00122"/>
    <w:rsid w:val="00D01D2A"/>
    <w:rsid w:val="00D02728"/>
    <w:rsid w:val="00D029EC"/>
    <w:rsid w:val="00D03432"/>
    <w:rsid w:val="00D06293"/>
    <w:rsid w:val="00D06F36"/>
    <w:rsid w:val="00D10B47"/>
    <w:rsid w:val="00D11EB1"/>
    <w:rsid w:val="00D12729"/>
    <w:rsid w:val="00D1316A"/>
    <w:rsid w:val="00D1654A"/>
    <w:rsid w:val="00D17DC9"/>
    <w:rsid w:val="00D17F17"/>
    <w:rsid w:val="00D17F5A"/>
    <w:rsid w:val="00D23597"/>
    <w:rsid w:val="00D26AC8"/>
    <w:rsid w:val="00D27E1F"/>
    <w:rsid w:val="00D30617"/>
    <w:rsid w:val="00D30BDC"/>
    <w:rsid w:val="00D31E83"/>
    <w:rsid w:val="00D33E88"/>
    <w:rsid w:val="00D4285B"/>
    <w:rsid w:val="00D46C19"/>
    <w:rsid w:val="00D4755D"/>
    <w:rsid w:val="00D57514"/>
    <w:rsid w:val="00D57F88"/>
    <w:rsid w:val="00D61942"/>
    <w:rsid w:val="00D6363E"/>
    <w:rsid w:val="00D64209"/>
    <w:rsid w:val="00D65226"/>
    <w:rsid w:val="00D65828"/>
    <w:rsid w:val="00D66DE0"/>
    <w:rsid w:val="00D705CA"/>
    <w:rsid w:val="00D7105C"/>
    <w:rsid w:val="00D73646"/>
    <w:rsid w:val="00D73B44"/>
    <w:rsid w:val="00D777B4"/>
    <w:rsid w:val="00D77841"/>
    <w:rsid w:val="00D77A90"/>
    <w:rsid w:val="00D77DC6"/>
    <w:rsid w:val="00D80848"/>
    <w:rsid w:val="00D8103C"/>
    <w:rsid w:val="00D8360B"/>
    <w:rsid w:val="00D85676"/>
    <w:rsid w:val="00D870B2"/>
    <w:rsid w:val="00D9081B"/>
    <w:rsid w:val="00D90B5F"/>
    <w:rsid w:val="00D940AE"/>
    <w:rsid w:val="00D959A6"/>
    <w:rsid w:val="00D96ADA"/>
    <w:rsid w:val="00DA0458"/>
    <w:rsid w:val="00DA0FA2"/>
    <w:rsid w:val="00DA2886"/>
    <w:rsid w:val="00DA4236"/>
    <w:rsid w:val="00DA56A0"/>
    <w:rsid w:val="00DA5E50"/>
    <w:rsid w:val="00DA7D0C"/>
    <w:rsid w:val="00DA7E43"/>
    <w:rsid w:val="00DB311C"/>
    <w:rsid w:val="00DB432D"/>
    <w:rsid w:val="00DB4646"/>
    <w:rsid w:val="00DB519B"/>
    <w:rsid w:val="00DB5B76"/>
    <w:rsid w:val="00DB5E66"/>
    <w:rsid w:val="00DC2505"/>
    <w:rsid w:val="00DC3EE1"/>
    <w:rsid w:val="00DC5712"/>
    <w:rsid w:val="00DC6287"/>
    <w:rsid w:val="00DC71AD"/>
    <w:rsid w:val="00DC7694"/>
    <w:rsid w:val="00DC7FBE"/>
    <w:rsid w:val="00DD11C0"/>
    <w:rsid w:val="00DD130E"/>
    <w:rsid w:val="00DD308E"/>
    <w:rsid w:val="00DD41DB"/>
    <w:rsid w:val="00DD4629"/>
    <w:rsid w:val="00DD4FE1"/>
    <w:rsid w:val="00DE06B6"/>
    <w:rsid w:val="00DE38F3"/>
    <w:rsid w:val="00DE4761"/>
    <w:rsid w:val="00DE48EA"/>
    <w:rsid w:val="00DE6ACF"/>
    <w:rsid w:val="00DE7576"/>
    <w:rsid w:val="00DF0196"/>
    <w:rsid w:val="00DF0A5A"/>
    <w:rsid w:val="00DF0C51"/>
    <w:rsid w:val="00DF0D47"/>
    <w:rsid w:val="00DF1652"/>
    <w:rsid w:val="00DF3D4A"/>
    <w:rsid w:val="00DF4121"/>
    <w:rsid w:val="00DF6755"/>
    <w:rsid w:val="00DF6D37"/>
    <w:rsid w:val="00E030C1"/>
    <w:rsid w:val="00E048ED"/>
    <w:rsid w:val="00E04FB3"/>
    <w:rsid w:val="00E058F2"/>
    <w:rsid w:val="00E05D9C"/>
    <w:rsid w:val="00E06102"/>
    <w:rsid w:val="00E15189"/>
    <w:rsid w:val="00E1558C"/>
    <w:rsid w:val="00E17B73"/>
    <w:rsid w:val="00E21647"/>
    <w:rsid w:val="00E2329F"/>
    <w:rsid w:val="00E23E71"/>
    <w:rsid w:val="00E30BC4"/>
    <w:rsid w:val="00E30F19"/>
    <w:rsid w:val="00E31DF3"/>
    <w:rsid w:val="00E32371"/>
    <w:rsid w:val="00E32F4F"/>
    <w:rsid w:val="00E33032"/>
    <w:rsid w:val="00E33C4A"/>
    <w:rsid w:val="00E357B9"/>
    <w:rsid w:val="00E42720"/>
    <w:rsid w:val="00E42F22"/>
    <w:rsid w:val="00E4321E"/>
    <w:rsid w:val="00E44B80"/>
    <w:rsid w:val="00E44F7D"/>
    <w:rsid w:val="00E45410"/>
    <w:rsid w:val="00E47623"/>
    <w:rsid w:val="00E47F15"/>
    <w:rsid w:val="00E50C11"/>
    <w:rsid w:val="00E52094"/>
    <w:rsid w:val="00E53E62"/>
    <w:rsid w:val="00E54385"/>
    <w:rsid w:val="00E54B85"/>
    <w:rsid w:val="00E54CA8"/>
    <w:rsid w:val="00E560F5"/>
    <w:rsid w:val="00E56A66"/>
    <w:rsid w:val="00E57039"/>
    <w:rsid w:val="00E60529"/>
    <w:rsid w:val="00E6128A"/>
    <w:rsid w:val="00E62556"/>
    <w:rsid w:val="00E66AEB"/>
    <w:rsid w:val="00E70D86"/>
    <w:rsid w:val="00E7186D"/>
    <w:rsid w:val="00E723C9"/>
    <w:rsid w:val="00E75D9E"/>
    <w:rsid w:val="00E7628E"/>
    <w:rsid w:val="00E824E2"/>
    <w:rsid w:val="00E82F54"/>
    <w:rsid w:val="00E85C49"/>
    <w:rsid w:val="00E86340"/>
    <w:rsid w:val="00E8649B"/>
    <w:rsid w:val="00E871CD"/>
    <w:rsid w:val="00E87EED"/>
    <w:rsid w:val="00E90990"/>
    <w:rsid w:val="00E93ACD"/>
    <w:rsid w:val="00E95D3D"/>
    <w:rsid w:val="00E96809"/>
    <w:rsid w:val="00EA0E25"/>
    <w:rsid w:val="00EA173C"/>
    <w:rsid w:val="00EA372D"/>
    <w:rsid w:val="00EA3784"/>
    <w:rsid w:val="00EA4973"/>
    <w:rsid w:val="00EA5E87"/>
    <w:rsid w:val="00EA63AF"/>
    <w:rsid w:val="00EA69A3"/>
    <w:rsid w:val="00EA7DD0"/>
    <w:rsid w:val="00EB0182"/>
    <w:rsid w:val="00EB07F0"/>
    <w:rsid w:val="00EB1246"/>
    <w:rsid w:val="00EB4E05"/>
    <w:rsid w:val="00EC127A"/>
    <w:rsid w:val="00EC1FF9"/>
    <w:rsid w:val="00EC2737"/>
    <w:rsid w:val="00EC58DC"/>
    <w:rsid w:val="00EC6937"/>
    <w:rsid w:val="00ED11C5"/>
    <w:rsid w:val="00ED3467"/>
    <w:rsid w:val="00ED3DAE"/>
    <w:rsid w:val="00ED5BF3"/>
    <w:rsid w:val="00ED5C02"/>
    <w:rsid w:val="00ED60E2"/>
    <w:rsid w:val="00ED766C"/>
    <w:rsid w:val="00EE04BC"/>
    <w:rsid w:val="00EE234C"/>
    <w:rsid w:val="00EE2425"/>
    <w:rsid w:val="00EE2716"/>
    <w:rsid w:val="00EE330C"/>
    <w:rsid w:val="00EE37BB"/>
    <w:rsid w:val="00EE6450"/>
    <w:rsid w:val="00EE71F0"/>
    <w:rsid w:val="00EF416B"/>
    <w:rsid w:val="00EF7FC9"/>
    <w:rsid w:val="00F01C2C"/>
    <w:rsid w:val="00F03BDE"/>
    <w:rsid w:val="00F0406E"/>
    <w:rsid w:val="00F10ED8"/>
    <w:rsid w:val="00F11F13"/>
    <w:rsid w:val="00F15112"/>
    <w:rsid w:val="00F15212"/>
    <w:rsid w:val="00F1552C"/>
    <w:rsid w:val="00F21050"/>
    <w:rsid w:val="00F2163D"/>
    <w:rsid w:val="00F216A4"/>
    <w:rsid w:val="00F222BE"/>
    <w:rsid w:val="00F233CB"/>
    <w:rsid w:val="00F24179"/>
    <w:rsid w:val="00F248D5"/>
    <w:rsid w:val="00F301F1"/>
    <w:rsid w:val="00F30863"/>
    <w:rsid w:val="00F30C22"/>
    <w:rsid w:val="00F33F1A"/>
    <w:rsid w:val="00F34AEC"/>
    <w:rsid w:val="00F37355"/>
    <w:rsid w:val="00F378AA"/>
    <w:rsid w:val="00F37A29"/>
    <w:rsid w:val="00F37A56"/>
    <w:rsid w:val="00F4211F"/>
    <w:rsid w:val="00F42B7B"/>
    <w:rsid w:val="00F44F44"/>
    <w:rsid w:val="00F46DDE"/>
    <w:rsid w:val="00F47BFC"/>
    <w:rsid w:val="00F527FA"/>
    <w:rsid w:val="00F53792"/>
    <w:rsid w:val="00F53B8F"/>
    <w:rsid w:val="00F547F7"/>
    <w:rsid w:val="00F54CCF"/>
    <w:rsid w:val="00F561B5"/>
    <w:rsid w:val="00F60365"/>
    <w:rsid w:val="00F61546"/>
    <w:rsid w:val="00F61D7A"/>
    <w:rsid w:val="00F63763"/>
    <w:rsid w:val="00F637B3"/>
    <w:rsid w:val="00F63A62"/>
    <w:rsid w:val="00F6432F"/>
    <w:rsid w:val="00F66CF7"/>
    <w:rsid w:val="00F67BCB"/>
    <w:rsid w:val="00F71E65"/>
    <w:rsid w:val="00F731C0"/>
    <w:rsid w:val="00F73A1A"/>
    <w:rsid w:val="00F76371"/>
    <w:rsid w:val="00F76716"/>
    <w:rsid w:val="00F77C57"/>
    <w:rsid w:val="00F813C7"/>
    <w:rsid w:val="00F82202"/>
    <w:rsid w:val="00F83566"/>
    <w:rsid w:val="00F83A9D"/>
    <w:rsid w:val="00F83ECD"/>
    <w:rsid w:val="00F85B1E"/>
    <w:rsid w:val="00F8694A"/>
    <w:rsid w:val="00F906B5"/>
    <w:rsid w:val="00F912ED"/>
    <w:rsid w:val="00F91977"/>
    <w:rsid w:val="00F91AC8"/>
    <w:rsid w:val="00F93784"/>
    <w:rsid w:val="00F953D3"/>
    <w:rsid w:val="00F971CC"/>
    <w:rsid w:val="00F97BC9"/>
    <w:rsid w:val="00FA148E"/>
    <w:rsid w:val="00FA2633"/>
    <w:rsid w:val="00FA2A47"/>
    <w:rsid w:val="00FA2CAA"/>
    <w:rsid w:val="00FA3C8E"/>
    <w:rsid w:val="00FA3DA1"/>
    <w:rsid w:val="00FA468E"/>
    <w:rsid w:val="00FA6554"/>
    <w:rsid w:val="00FA745D"/>
    <w:rsid w:val="00FC10A8"/>
    <w:rsid w:val="00FC32A5"/>
    <w:rsid w:val="00FC54A1"/>
    <w:rsid w:val="00FC572D"/>
    <w:rsid w:val="00FC5FFD"/>
    <w:rsid w:val="00FC6DC0"/>
    <w:rsid w:val="00FD042E"/>
    <w:rsid w:val="00FD1FF9"/>
    <w:rsid w:val="00FD37B9"/>
    <w:rsid w:val="00FD3A09"/>
    <w:rsid w:val="00FD4DE8"/>
    <w:rsid w:val="00FD5F30"/>
    <w:rsid w:val="00FD7385"/>
    <w:rsid w:val="00FE0ECD"/>
    <w:rsid w:val="00FE16C1"/>
    <w:rsid w:val="00FE19FF"/>
    <w:rsid w:val="00FE1F8F"/>
    <w:rsid w:val="00FE33A6"/>
    <w:rsid w:val="00FE5452"/>
    <w:rsid w:val="00FE5E88"/>
    <w:rsid w:val="00FE7BEC"/>
    <w:rsid w:val="00FF066A"/>
    <w:rsid w:val="00FF1A00"/>
    <w:rsid w:val="00FF3DB3"/>
    <w:rsid w:val="00FF59A8"/>
    <w:rsid w:val="00FF7C11"/>
    <w:rsid w:val="00FF7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53EFB"/>
    <w:rPr>
      <w:color w:val="800080" w:themeColor="followedHyperlink"/>
      <w:u w:val="single"/>
    </w:rPr>
  </w:style>
  <w:style w:type="character" w:customStyle="1" w:styleId="Mention">
    <w:name w:val="Mention"/>
    <w:basedOn w:val="DefaultParagraphFont"/>
    <w:uiPriority w:val="99"/>
    <w:semiHidden/>
    <w:unhideWhenUsed/>
    <w:rsid w:val="00AF7A4F"/>
    <w:rPr>
      <w:color w:val="2B579A"/>
      <w:shd w:val="clear" w:color="auto" w:fill="E6E6E6"/>
    </w:rPr>
  </w:style>
  <w:style w:type="character" w:customStyle="1" w:styleId="UnresolvedMention">
    <w:name w:val="Unresolved Mention"/>
    <w:basedOn w:val="DefaultParagraphFont"/>
    <w:uiPriority w:val="99"/>
    <w:semiHidden/>
    <w:unhideWhenUsed/>
    <w:rsid w:val="00EA69A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53EFB"/>
    <w:rPr>
      <w:color w:val="800080" w:themeColor="followedHyperlink"/>
      <w:u w:val="single"/>
    </w:rPr>
  </w:style>
  <w:style w:type="character" w:customStyle="1" w:styleId="Mention">
    <w:name w:val="Mention"/>
    <w:basedOn w:val="DefaultParagraphFont"/>
    <w:uiPriority w:val="99"/>
    <w:semiHidden/>
    <w:unhideWhenUsed/>
    <w:rsid w:val="00AF7A4F"/>
    <w:rPr>
      <w:color w:val="2B579A"/>
      <w:shd w:val="clear" w:color="auto" w:fill="E6E6E6"/>
    </w:rPr>
  </w:style>
  <w:style w:type="character" w:customStyle="1" w:styleId="UnresolvedMention">
    <w:name w:val="Unresolved Mention"/>
    <w:basedOn w:val="DefaultParagraphFont"/>
    <w:uiPriority w:val="99"/>
    <w:semiHidden/>
    <w:unhideWhenUsed/>
    <w:rsid w:val="00EA69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4129">
      <w:bodyDiv w:val="1"/>
      <w:marLeft w:val="0"/>
      <w:marRight w:val="0"/>
      <w:marTop w:val="0"/>
      <w:marBottom w:val="0"/>
      <w:divBdr>
        <w:top w:val="none" w:sz="0" w:space="0" w:color="auto"/>
        <w:left w:val="none" w:sz="0" w:space="0" w:color="auto"/>
        <w:bottom w:val="none" w:sz="0" w:space="0" w:color="auto"/>
        <w:right w:val="none" w:sz="0" w:space="0" w:color="auto"/>
      </w:divBdr>
    </w:div>
    <w:div w:id="264921711">
      <w:bodyDiv w:val="1"/>
      <w:marLeft w:val="0"/>
      <w:marRight w:val="0"/>
      <w:marTop w:val="0"/>
      <w:marBottom w:val="0"/>
      <w:divBdr>
        <w:top w:val="none" w:sz="0" w:space="0" w:color="auto"/>
        <w:left w:val="none" w:sz="0" w:space="0" w:color="auto"/>
        <w:bottom w:val="none" w:sz="0" w:space="0" w:color="auto"/>
        <w:right w:val="none" w:sz="0" w:space="0" w:color="auto"/>
      </w:divBdr>
      <w:divsChild>
        <w:div w:id="56782442">
          <w:marLeft w:val="0"/>
          <w:marRight w:val="0"/>
          <w:marTop w:val="0"/>
          <w:marBottom w:val="0"/>
          <w:divBdr>
            <w:top w:val="none" w:sz="0" w:space="0" w:color="auto"/>
            <w:left w:val="none" w:sz="0" w:space="0" w:color="auto"/>
            <w:bottom w:val="none" w:sz="0" w:space="0" w:color="auto"/>
            <w:right w:val="none" w:sz="0" w:space="0" w:color="auto"/>
          </w:divBdr>
          <w:divsChild>
            <w:div w:id="680860847">
              <w:marLeft w:val="0"/>
              <w:marRight w:val="0"/>
              <w:marTop w:val="0"/>
              <w:marBottom w:val="0"/>
              <w:divBdr>
                <w:top w:val="none" w:sz="0" w:space="0" w:color="auto"/>
                <w:left w:val="none" w:sz="0" w:space="0" w:color="auto"/>
                <w:bottom w:val="none" w:sz="0" w:space="0" w:color="auto"/>
                <w:right w:val="none" w:sz="0" w:space="0" w:color="auto"/>
              </w:divBdr>
              <w:divsChild>
                <w:div w:id="172844974">
                  <w:marLeft w:val="0"/>
                  <w:marRight w:val="0"/>
                  <w:marTop w:val="0"/>
                  <w:marBottom w:val="0"/>
                  <w:divBdr>
                    <w:top w:val="none" w:sz="0" w:space="0" w:color="auto"/>
                    <w:left w:val="none" w:sz="0" w:space="0" w:color="auto"/>
                    <w:bottom w:val="none" w:sz="0" w:space="0" w:color="auto"/>
                    <w:right w:val="none" w:sz="0" w:space="0" w:color="auto"/>
                  </w:divBdr>
                  <w:divsChild>
                    <w:div w:id="358046643">
                      <w:marLeft w:val="0"/>
                      <w:marRight w:val="0"/>
                      <w:marTop w:val="0"/>
                      <w:marBottom w:val="0"/>
                      <w:divBdr>
                        <w:top w:val="none" w:sz="0" w:space="0" w:color="auto"/>
                        <w:left w:val="none" w:sz="0" w:space="0" w:color="auto"/>
                        <w:bottom w:val="none" w:sz="0" w:space="0" w:color="auto"/>
                        <w:right w:val="none" w:sz="0" w:space="0" w:color="auto"/>
                      </w:divBdr>
                      <w:divsChild>
                        <w:div w:id="1446391672">
                          <w:marLeft w:val="0"/>
                          <w:marRight w:val="0"/>
                          <w:marTop w:val="0"/>
                          <w:marBottom w:val="0"/>
                          <w:divBdr>
                            <w:top w:val="none" w:sz="0" w:space="0" w:color="auto"/>
                            <w:left w:val="none" w:sz="0" w:space="0" w:color="auto"/>
                            <w:bottom w:val="none" w:sz="0" w:space="0" w:color="auto"/>
                            <w:right w:val="none" w:sz="0" w:space="0" w:color="auto"/>
                          </w:divBdr>
                          <w:divsChild>
                            <w:div w:id="1042828726">
                              <w:marLeft w:val="0"/>
                              <w:marRight w:val="0"/>
                              <w:marTop w:val="0"/>
                              <w:marBottom w:val="0"/>
                              <w:divBdr>
                                <w:top w:val="none" w:sz="0" w:space="0" w:color="auto"/>
                                <w:left w:val="none" w:sz="0" w:space="0" w:color="auto"/>
                                <w:bottom w:val="none" w:sz="0" w:space="0" w:color="auto"/>
                                <w:right w:val="none" w:sz="0" w:space="0" w:color="auto"/>
                              </w:divBdr>
                              <w:divsChild>
                                <w:div w:id="11423307">
                                  <w:marLeft w:val="0"/>
                                  <w:marRight w:val="0"/>
                                  <w:marTop w:val="0"/>
                                  <w:marBottom w:val="0"/>
                                  <w:divBdr>
                                    <w:top w:val="none" w:sz="0" w:space="0" w:color="auto"/>
                                    <w:left w:val="none" w:sz="0" w:space="0" w:color="auto"/>
                                    <w:bottom w:val="none" w:sz="0" w:space="0" w:color="auto"/>
                                    <w:right w:val="none" w:sz="0" w:space="0" w:color="auto"/>
                                  </w:divBdr>
                                  <w:divsChild>
                                    <w:div w:id="2123760467">
                                      <w:marLeft w:val="0"/>
                                      <w:marRight w:val="0"/>
                                      <w:marTop w:val="0"/>
                                      <w:marBottom w:val="0"/>
                                      <w:divBdr>
                                        <w:top w:val="none" w:sz="0" w:space="0" w:color="auto"/>
                                        <w:left w:val="none" w:sz="0" w:space="0" w:color="auto"/>
                                        <w:bottom w:val="none" w:sz="0" w:space="0" w:color="auto"/>
                                        <w:right w:val="none" w:sz="0" w:space="0" w:color="auto"/>
                                      </w:divBdr>
                                      <w:divsChild>
                                        <w:div w:id="134836912">
                                          <w:marLeft w:val="0"/>
                                          <w:marRight w:val="0"/>
                                          <w:marTop w:val="0"/>
                                          <w:marBottom w:val="0"/>
                                          <w:divBdr>
                                            <w:top w:val="none" w:sz="0" w:space="0" w:color="auto"/>
                                            <w:left w:val="none" w:sz="0" w:space="0" w:color="auto"/>
                                            <w:bottom w:val="none" w:sz="0" w:space="0" w:color="auto"/>
                                            <w:right w:val="none" w:sz="0" w:space="0" w:color="auto"/>
                                          </w:divBdr>
                                          <w:divsChild>
                                            <w:div w:id="1441686959">
                                              <w:marLeft w:val="0"/>
                                              <w:marRight w:val="0"/>
                                              <w:marTop w:val="0"/>
                                              <w:marBottom w:val="0"/>
                                              <w:divBdr>
                                                <w:top w:val="none" w:sz="0" w:space="0" w:color="auto"/>
                                                <w:left w:val="none" w:sz="0" w:space="0" w:color="auto"/>
                                                <w:bottom w:val="none" w:sz="0" w:space="0" w:color="auto"/>
                                                <w:right w:val="none" w:sz="0" w:space="0" w:color="auto"/>
                                              </w:divBdr>
                                              <w:divsChild>
                                                <w:div w:id="20180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010765312">
      <w:bodyDiv w:val="1"/>
      <w:marLeft w:val="0"/>
      <w:marRight w:val="0"/>
      <w:marTop w:val="0"/>
      <w:marBottom w:val="0"/>
      <w:divBdr>
        <w:top w:val="none" w:sz="0" w:space="0" w:color="auto"/>
        <w:left w:val="none" w:sz="0" w:space="0" w:color="auto"/>
        <w:bottom w:val="none" w:sz="0" w:space="0" w:color="auto"/>
        <w:right w:val="none" w:sz="0" w:space="0" w:color="auto"/>
      </w:divBdr>
    </w:div>
    <w:div w:id="1153178038">
      <w:bodyDiv w:val="1"/>
      <w:marLeft w:val="0"/>
      <w:marRight w:val="0"/>
      <w:marTop w:val="0"/>
      <w:marBottom w:val="0"/>
      <w:divBdr>
        <w:top w:val="none" w:sz="0" w:space="0" w:color="auto"/>
        <w:left w:val="none" w:sz="0" w:space="0" w:color="auto"/>
        <w:bottom w:val="none" w:sz="0" w:space="0" w:color="auto"/>
        <w:right w:val="none" w:sz="0" w:space="0" w:color="auto"/>
      </w:divBdr>
    </w:div>
    <w:div w:id="1400401243">
      <w:bodyDiv w:val="1"/>
      <w:marLeft w:val="0"/>
      <w:marRight w:val="0"/>
      <w:marTop w:val="0"/>
      <w:marBottom w:val="0"/>
      <w:divBdr>
        <w:top w:val="none" w:sz="0" w:space="0" w:color="auto"/>
        <w:left w:val="none" w:sz="0" w:space="0" w:color="auto"/>
        <w:bottom w:val="none" w:sz="0" w:space="0" w:color="auto"/>
        <w:right w:val="none" w:sz="0" w:space="0" w:color="auto"/>
      </w:divBdr>
    </w:div>
    <w:div w:id="200331469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ncotarget.com/index.php?journal=oncotarget&amp;page=article&amp;op=view&amp;path%5b%5d=13456&amp;path%5b%5d=44022" TargetMode="External"/><Relationship Id="rId26" Type="http://schemas.openxmlformats.org/officeDocument/2006/relationships/hyperlink" Target="https://www.sciencedirect.com/science/article/pii/S1525157817303380" TargetMode="External"/><Relationship Id="rId39" Type="http://schemas.openxmlformats.org/officeDocument/2006/relationships/hyperlink" Target="https://www.nature.com/articles/nbt.2696" TargetMode="External"/><Relationship Id="rId3" Type="http://schemas.openxmlformats.org/officeDocument/2006/relationships/styles" Target="styles.xml"/><Relationship Id="rId21" Type="http://schemas.openxmlformats.org/officeDocument/2006/relationships/hyperlink" Target="http://cancerres.aacrjournals.org/content/77/13_Supplement/5362" TargetMode="External"/><Relationship Id="rId34" Type="http://schemas.openxmlformats.org/officeDocument/2006/relationships/hyperlink" Target="http://www.current-oncology.com/index.php/oncology/article/view/2077/1463" TargetMode="External"/><Relationship Id="rId42" Type="http://schemas.openxmlformats.org/officeDocument/2006/relationships/hyperlink" Target="https://www.sciencedirect.com/science/article/pii/S0140673617324406" TargetMode="External"/><Relationship Id="rId47" Type="http://schemas.openxmlformats.org/officeDocument/2006/relationships/image" Target="media/image2.e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anceraustralia.gov.au/publications-and-resources/clinical-practice-guidelines/first-line-chemotherapy-treatment-women-epithelial-ovarian-cancer" TargetMode="External"/><Relationship Id="rId17" Type="http://schemas.openxmlformats.org/officeDocument/2006/relationships/hyperlink" Target="http://www.oncotarget.com/index.php?journal=oncotarget&amp;page=article&amp;op=view&amp;path%5b%5d=6834&amp;path%5b%5d=19269" TargetMode="External"/><Relationship Id="rId25" Type="http://schemas.openxmlformats.org/officeDocument/2006/relationships/hyperlink" Target="http://mct.aacrjournals.org/content/16/10_Supplement/B29" TargetMode="External"/><Relationship Id="rId33" Type="http://schemas.openxmlformats.org/officeDocument/2006/relationships/hyperlink" Target="https://ac.els-cdn.com/S1525157814001731/1-s2.0-S1525157814001731-main.pdf?_tid=f2e15168-111c-11e8-864d-00000aacb362&amp;acdnat=1518567855_3f5d9a2aae98a7fef72138a5ae47fda9" TargetMode="External"/><Relationship Id="rId38" Type="http://schemas.openxmlformats.org/officeDocument/2006/relationships/hyperlink" Target="https://ac.els-cdn.com/S0090825813009438/1-s2.0-S0090825813009438-main.pdf?_tid=8114155a-1146-11e8-aa19-00000aacb360&amp;acdnat=1518585695_8697136926bbdb45f1192c6efe89e843" TargetMode="External"/><Relationship Id="rId46" Type="http://schemas.openxmlformats.org/officeDocument/2006/relationships/hyperlink" Target="https://canceraustralia.gov.au/publications-and-resources/clinical-practice-guidelines/first-line-chemotherapy-treatment-women-epithelial-ovarian-cancer" TargetMode="External"/><Relationship Id="rId2" Type="http://schemas.openxmlformats.org/officeDocument/2006/relationships/numbering" Target="numbering.xml"/><Relationship Id="rId16" Type="http://schemas.openxmlformats.org/officeDocument/2006/relationships/hyperlink" Target="http://www.thelancet.com/pdfs/journals/lanonc/PIIS1470-2045(16)30376-X.pdf" TargetMode="External"/><Relationship Id="rId20" Type="http://schemas.openxmlformats.org/officeDocument/2006/relationships/hyperlink" Target="https://watermark.silverchair.com/mdw392.28.pdf?token=AQECAHi208BE49Ooan9kkhW_Ercy7Dm3ZL_9Cf3qfKAc485ysgAAAcgwggHEBgkqhkiG9w0BBwagggG1MIIBsQIBADCCAaoGCSqGSIb3DQEHATAeBglghkgBZQMEAS4wEQQMCtq-AmJx8VpxAGGAAgEQgIIBe0eIdSzalDmXm09ni2EVWLfH_2tlJJ2FFOvo6jZgsjpC_cowGsg35w_BTEFPPuOUn6k-p_6jZFhzbD5OAnWI0KFzIu3t3Ex_TyJQTw6bDx-COTz5PbRcnfNNyBOvEj1sXbp1hVvf5IrC-ihALl9KGevCyOc8BY6XzfnvhQa6PuBeJaSt3oHEN-X-sgX9S0BnCEq5Pd6ZCFesicmlp8v-leAV10nyibQL0Q2BjBEH6rHOAOsOUtMv0KPJnYgEZybxlC6-R6E5tZi4BQoqRwCZsyuDRdk4aTVAfM1kdKHQlfqaHAptGBz1MvAXrwipb41g-IfnJetKA5xOMNFQzHFQGGEZ0d7MEwFKCdS5EfdRjo3TWK5wcdY0l1t1HHT4e8Y9rgSZ56iQt_yDiLTaag176gJNv3v6wsCi_ljf0NQB_DCeio-jPD08JUIFM_x0G3dTaAutRBtbaWT-mt8ZXVH8YsOHOamSzbN59v7GIgdV1GSAM950jh754YqR8QA" TargetMode="External"/><Relationship Id="rId29" Type="http://schemas.openxmlformats.org/officeDocument/2006/relationships/hyperlink" Target="http://cancerres.aacrjournals.org/content/76/14_Supplement/95" TargetMode="External"/><Relationship Id="rId41" Type="http://schemas.openxmlformats.org/officeDocument/2006/relationships/hyperlink" Target="http://ascopubs.org/doi/full/10.1200/JCO.2009.27.29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s://www.ncbi.nlm.nih.gov/pmc/articles/PMC5447142/" TargetMode="External"/><Relationship Id="rId32" Type="http://schemas.openxmlformats.org/officeDocument/2006/relationships/hyperlink" Target="https://bmcclinpathol.biomedcentral.com/track/pdf/10.1186/s12907-015-0004-6?site=bmcclinpathol.biomedcentral.com" TargetMode="External"/><Relationship Id="rId37" Type="http://schemas.openxmlformats.org/officeDocument/2006/relationships/hyperlink" Target="https://www.nature.com/articles/ncomms4156.pdf" TargetMode="External"/><Relationship Id="rId40" Type="http://schemas.openxmlformats.org/officeDocument/2006/relationships/hyperlink" Target="https://academic.oup.com/annonc/article/25/suppl_4/iv308/2241599" TargetMode="External"/><Relationship Id="rId45" Type="http://schemas.openxmlformats.org/officeDocument/2006/relationships/hyperlink" Target="http://ascopubs.org/doi/full/10.1200/JCO.2011.39.8545" TargetMode="External"/><Relationship Id="rId5" Type="http://schemas.openxmlformats.org/officeDocument/2006/relationships/settings" Target="settings.xml"/><Relationship Id="rId15" Type="http://schemas.openxmlformats.org/officeDocument/2006/relationships/hyperlink" Target="https://ac.els-cdn.com/S0959804916303008/1-s2.0-S0959804916303008-main.pdf?_tid=59a4120e-106f-11e8-a11a-00000aab0f26&amp;acdnat=1518493287_2db02025f85bc68a9039ff1576f3e963" TargetMode="External"/><Relationship Id="rId23" Type="http://schemas.openxmlformats.org/officeDocument/2006/relationships/hyperlink" Target="http://ascopubs.org/doi/abs/10.1200/JCO.2017.35.15_suppl.e17060" TargetMode="External"/><Relationship Id="rId28" Type="http://schemas.openxmlformats.org/officeDocument/2006/relationships/hyperlink" Target="http://ascopubs.org/doi/abs/10.1200/JCO.2016.34.15_suppl.e17060" TargetMode="External"/><Relationship Id="rId36" Type="http://schemas.openxmlformats.org/officeDocument/2006/relationships/hyperlink" Target="https://ac.els-cdn.com/S0090825811009814/1-s2.0-S0090825811009814-main.pdf?_tid=d5dd19d8-11f0-11e8-9f9b-00000aab0f6b&amp;acdnat=1518658851_d764cadb5d00523acb1281dd36c70657" TargetMode="External"/><Relationship Id="rId49" Type="http://schemas.openxmlformats.org/officeDocument/2006/relationships/fontTable" Target="fontTable.xml"/><Relationship Id="rId10" Type="http://schemas.openxmlformats.org/officeDocument/2006/relationships/hyperlink" Target="mailto:hta@health.gov.au" TargetMode="External"/><Relationship Id="rId19" Type="http://schemas.openxmlformats.org/officeDocument/2006/relationships/hyperlink" Target="https://www.ncbi.nlm.nih.gov/pmc/articles/PMC5308695/pdf/oncotarget-07-61845.pdf" TargetMode="External"/><Relationship Id="rId31" Type="http://schemas.openxmlformats.org/officeDocument/2006/relationships/hyperlink" Target="http://ascopubs.org/doi/abs/10.1200/jco.2015.33.15_suppl.1532" TargetMode="External"/><Relationship Id="rId44" Type="http://schemas.openxmlformats.org/officeDocument/2006/relationships/hyperlink" Target="http://www.nejm.org/doi/full/10.1056/NEJMoa16113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ncotarget.com/index.php?journal=oncotarget&amp;page=article&amp;op=view&amp;path%5b%5d=17613&amp;path%5b%5d=56383" TargetMode="External"/><Relationship Id="rId22" Type="http://schemas.openxmlformats.org/officeDocument/2006/relationships/hyperlink" Target="http://ascopubs.org/doi/abs/10.1200/JCO.2017.35.15_suppl.e23116" TargetMode="External"/><Relationship Id="rId27" Type="http://schemas.openxmlformats.org/officeDocument/2006/relationships/hyperlink" Target="https://ac.els-cdn.com/S1525157816301787/1-s2.0-S1525157816301787-main.pdf?_tid=7264e1e2-1065-11e8-93f3-00000aacb35d&amp;acdnat=1518489033_e391a79881ac337e09e02850e1a6d6d5" TargetMode="External"/><Relationship Id="rId30" Type="http://schemas.openxmlformats.org/officeDocument/2006/relationships/hyperlink" Target="https://ac.els-cdn.com/S0959804916315374/1-s2.0-S0959804916315374-main.pdf?_tid=c92b7f60-1072-11e8-a2ad-00000aacb35f&amp;acdnat=1518494762_71d6c2d3dbb37743a5724d610d08a996" TargetMode="External"/><Relationship Id="rId35" Type="http://schemas.openxmlformats.org/officeDocument/2006/relationships/hyperlink" Target="https://ac.els-cdn.com/S0090825813009438/1-s2.0-S0090825813009438-main.pdf?_tid=8114155a-1146-11e8-aa19-00000aacb360&amp;acdnat=1518585695_8697136926bbdb45f1192c6efe89e843" TargetMode="External"/><Relationship Id="rId43" Type="http://schemas.openxmlformats.org/officeDocument/2006/relationships/hyperlink" Target="https://www.sciencedirect.com/science/article/pii/S1470204516305599" TargetMode="External"/><Relationship Id="rId48" Type="http://schemas.openxmlformats.org/officeDocument/2006/relationships/image" Target="media/image3.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DEA2-BA79-4C86-AD1F-0A52807E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12925</Words>
  <Characters>73679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86432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2018-06-18T01:01:00Z</dcterms:created>
  <dcterms:modified xsi:type="dcterms:W3CDTF">2018-06-19T03:15:00Z</dcterms:modified>
</cp:coreProperties>
</file>